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AA" w:rsidRPr="003213D4" w:rsidRDefault="00E247AA" w:rsidP="003213D4">
      <w:pPr>
        <w:widowControl/>
        <w:ind w:rightChars="-244" w:right="-586"/>
        <w:jc w:val="center"/>
        <w:rPr>
          <w:rFonts w:ascii="黑体" w:eastAsia="黑体" w:hAnsi="黑体" w:cs="宋体"/>
          <w:b/>
          <w:bCs/>
          <w:kern w:val="0"/>
          <w:sz w:val="32"/>
          <w:szCs w:val="32"/>
        </w:rPr>
      </w:pPr>
      <w:r w:rsidRPr="003213D4">
        <w:rPr>
          <w:rFonts w:ascii="黑体" w:eastAsia="黑体" w:hAnsi="黑体" w:cs="宋体" w:hint="eastAsia"/>
          <w:b/>
          <w:bCs/>
          <w:kern w:val="0"/>
          <w:sz w:val="32"/>
          <w:szCs w:val="32"/>
        </w:rPr>
        <w:t>北京交通大学</w:t>
      </w:r>
      <w:r w:rsidRPr="003213D4">
        <w:rPr>
          <w:rFonts w:ascii="黑体" w:eastAsia="黑体" w:hAnsi="黑体" w:cs="宋体"/>
          <w:b/>
          <w:bCs/>
          <w:kern w:val="0"/>
          <w:sz w:val="32"/>
          <w:szCs w:val="32"/>
        </w:rPr>
        <w:t>金融硕士（MF）专业学位培养方案</w:t>
      </w:r>
      <w:r w:rsidR="007E3869" w:rsidRPr="003213D4">
        <w:rPr>
          <w:rFonts w:ascii="黑体" w:eastAsia="黑体" w:hAnsi="黑体" w:cs="宋体" w:hint="eastAsia"/>
          <w:b/>
          <w:bCs/>
          <w:kern w:val="0"/>
          <w:sz w:val="32"/>
          <w:szCs w:val="32"/>
        </w:rPr>
        <w:t>(2018</w:t>
      </w:r>
      <w:r w:rsidRPr="003213D4">
        <w:rPr>
          <w:rFonts w:ascii="黑体" w:eastAsia="黑体" w:hAnsi="黑体" w:cs="宋体" w:hint="eastAsia"/>
          <w:b/>
          <w:bCs/>
          <w:kern w:val="0"/>
          <w:sz w:val="32"/>
          <w:szCs w:val="32"/>
        </w:rPr>
        <w:t>)</w:t>
      </w:r>
    </w:p>
    <w:p w:rsidR="00E247AA" w:rsidRPr="003213D4" w:rsidRDefault="00E247AA" w:rsidP="003213D4">
      <w:pPr>
        <w:jc w:val="center"/>
        <w:rPr>
          <w:rFonts w:ascii="黑体" w:eastAsia="黑体" w:hAnsi="黑体" w:cs="Times New Roman"/>
          <w:b/>
          <w:bCs/>
          <w:color w:val="000000"/>
          <w:sz w:val="28"/>
          <w:szCs w:val="28"/>
        </w:rPr>
      </w:pPr>
      <w:r w:rsidRPr="003213D4">
        <w:rPr>
          <w:rFonts w:ascii="黑体" w:eastAsia="黑体" w:hAnsi="黑体" w:cs="Times New Roman" w:hint="eastAsia"/>
          <w:b/>
          <w:bCs/>
          <w:color w:val="000000"/>
          <w:sz w:val="28"/>
          <w:szCs w:val="28"/>
        </w:rPr>
        <w:t>（学科代码：025100   授予金融硕士专业学位）</w:t>
      </w:r>
    </w:p>
    <w:p w:rsidR="00E247AA" w:rsidRDefault="00E247AA" w:rsidP="003213D4">
      <w:pPr>
        <w:spacing w:before="120"/>
        <w:rPr>
          <w:rFonts w:ascii="宋体" w:hAnsi="宋体" w:cs="Times New Roman"/>
          <w:b/>
          <w:bCs/>
          <w:color w:val="000000"/>
          <w:sz w:val="22"/>
        </w:rPr>
      </w:pPr>
    </w:p>
    <w:p w:rsidR="003213D4" w:rsidRPr="003213D4" w:rsidRDefault="003213D4" w:rsidP="00646FC2">
      <w:pPr>
        <w:spacing w:beforeLines="50" w:afterLines="50" w:line="360" w:lineRule="auto"/>
        <w:rPr>
          <w:rFonts w:ascii="宋体" w:hAnsi="宋体" w:cs="Times New Roman"/>
          <w:b/>
          <w:bCs/>
          <w:color w:val="000000"/>
          <w:sz w:val="28"/>
          <w:szCs w:val="28"/>
        </w:rPr>
      </w:pPr>
      <w:r w:rsidRPr="003213D4">
        <w:rPr>
          <w:rFonts w:ascii="宋体" w:hAnsi="宋体" w:cs="Times New Roman" w:hint="eastAsia"/>
          <w:b/>
          <w:bCs/>
          <w:color w:val="000000"/>
          <w:sz w:val="28"/>
          <w:szCs w:val="28"/>
        </w:rPr>
        <w:t>一、学科专业及研究方向</w:t>
      </w:r>
    </w:p>
    <w:p w:rsidR="003213D4" w:rsidRDefault="003213D4" w:rsidP="00925BC7">
      <w:pPr>
        <w:spacing w:before="240" w:after="240"/>
        <w:ind w:firstLineChars="200" w:firstLine="420"/>
        <w:rPr>
          <w:rFonts w:ascii="宋体" w:hAnsi="宋体"/>
          <w:bCs/>
          <w:sz w:val="21"/>
        </w:rPr>
      </w:pPr>
      <w:r w:rsidRPr="00A24E58">
        <w:rPr>
          <w:rFonts w:ascii="宋体" w:hAnsi="宋体" w:hint="eastAsia"/>
          <w:bCs/>
          <w:sz w:val="21"/>
        </w:rPr>
        <w:t>金融硕士专业学位（MF）</w:t>
      </w:r>
      <w:r>
        <w:rPr>
          <w:rFonts w:ascii="宋体" w:hAnsi="宋体" w:hint="eastAsia"/>
          <w:bCs/>
          <w:sz w:val="21"/>
        </w:rPr>
        <w:t>主要研究方向</w:t>
      </w:r>
      <w:r w:rsidR="00091BCE">
        <w:rPr>
          <w:rFonts w:ascii="宋体" w:hAnsi="宋体" w:hint="eastAsia"/>
          <w:bCs/>
          <w:sz w:val="21"/>
        </w:rPr>
        <w:t>设置如下：</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552"/>
        <w:gridCol w:w="4252"/>
        <w:gridCol w:w="709"/>
      </w:tblGrid>
      <w:tr w:rsidR="003213D4" w:rsidRPr="00FD1BC5" w:rsidTr="003A0743">
        <w:trPr>
          <w:trHeight w:val="430"/>
          <w:jc w:val="center"/>
        </w:trPr>
        <w:tc>
          <w:tcPr>
            <w:tcW w:w="709" w:type="dxa"/>
            <w:vAlign w:val="center"/>
          </w:tcPr>
          <w:p w:rsidR="003213D4" w:rsidRPr="00FD1BC5" w:rsidRDefault="003213D4" w:rsidP="00091BCE">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序号</w:t>
            </w:r>
          </w:p>
        </w:tc>
        <w:tc>
          <w:tcPr>
            <w:tcW w:w="2552" w:type="dxa"/>
            <w:vAlign w:val="center"/>
          </w:tcPr>
          <w:p w:rsidR="003213D4" w:rsidRPr="00FD1BC5" w:rsidRDefault="003213D4" w:rsidP="00091BCE">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研究方向</w:t>
            </w:r>
          </w:p>
        </w:tc>
        <w:tc>
          <w:tcPr>
            <w:tcW w:w="4252" w:type="dxa"/>
            <w:vAlign w:val="center"/>
          </w:tcPr>
          <w:p w:rsidR="003213D4" w:rsidRPr="00FD1BC5" w:rsidRDefault="003213D4" w:rsidP="00091BCE">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主要研究内容与特色</w:t>
            </w:r>
          </w:p>
        </w:tc>
        <w:tc>
          <w:tcPr>
            <w:tcW w:w="709" w:type="dxa"/>
            <w:vAlign w:val="center"/>
          </w:tcPr>
          <w:p w:rsidR="003213D4" w:rsidRPr="00FD1BC5" w:rsidRDefault="003213D4" w:rsidP="00091BCE">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备注</w:t>
            </w:r>
          </w:p>
        </w:tc>
      </w:tr>
      <w:tr w:rsidR="003213D4" w:rsidRPr="00FD1BC5" w:rsidTr="003A0743">
        <w:trPr>
          <w:trHeight w:val="299"/>
          <w:jc w:val="center"/>
        </w:trPr>
        <w:tc>
          <w:tcPr>
            <w:tcW w:w="709" w:type="dxa"/>
            <w:vAlign w:val="center"/>
          </w:tcPr>
          <w:p w:rsidR="003213D4" w:rsidRPr="00FD1BC5" w:rsidRDefault="003213D4" w:rsidP="00F85586">
            <w:pPr>
              <w:autoSpaceDE w:val="0"/>
              <w:autoSpaceDN w:val="0"/>
              <w:adjustRightInd w:val="0"/>
              <w:spacing w:line="300" w:lineRule="auto"/>
              <w:ind w:firstLineChars="100" w:firstLine="210"/>
              <w:rPr>
                <w:rFonts w:ascii="宋体" w:hAnsi="宋体" w:cs="宋体"/>
                <w:color w:val="000000"/>
                <w:kern w:val="0"/>
                <w:sz w:val="21"/>
              </w:rPr>
            </w:pPr>
            <w:r w:rsidRPr="00FD1BC5">
              <w:rPr>
                <w:rFonts w:ascii="宋体" w:hAnsi="宋体" w:cs="宋体" w:hint="eastAsia"/>
                <w:color w:val="000000"/>
                <w:kern w:val="0"/>
                <w:sz w:val="21"/>
              </w:rPr>
              <w:t>1</w:t>
            </w:r>
          </w:p>
        </w:tc>
        <w:tc>
          <w:tcPr>
            <w:tcW w:w="2552"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商业银行经营与风险管理</w:t>
            </w:r>
          </w:p>
        </w:tc>
        <w:tc>
          <w:tcPr>
            <w:tcW w:w="4252" w:type="dxa"/>
          </w:tcPr>
          <w:p w:rsidR="003213D4" w:rsidRPr="00FD1BC5" w:rsidRDefault="003213D4" w:rsidP="00F85586">
            <w:pPr>
              <w:autoSpaceDE w:val="0"/>
              <w:autoSpaceDN w:val="0"/>
              <w:adjustRightInd w:val="0"/>
              <w:spacing w:line="300" w:lineRule="auto"/>
              <w:rPr>
                <w:rFonts w:ascii="宋体" w:hAnsi="宋体" w:cs="宋体"/>
                <w:color w:val="000000"/>
                <w:kern w:val="0"/>
                <w:sz w:val="21"/>
              </w:rPr>
            </w:pPr>
            <w:r w:rsidRPr="00FD1BC5">
              <w:rPr>
                <w:rFonts w:ascii="宋体" w:hAnsi="宋体" w:cs="宋体" w:hint="eastAsia"/>
                <w:color w:val="000000"/>
                <w:kern w:val="0"/>
                <w:sz w:val="21"/>
              </w:rPr>
              <w:t>商业银行营销业务、经营管理、风险管控等</w:t>
            </w:r>
          </w:p>
        </w:tc>
        <w:tc>
          <w:tcPr>
            <w:tcW w:w="709"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p>
        </w:tc>
      </w:tr>
      <w:tr w:rsidR="003213D4" w:rsidRPr="00FD1BC5" w:rsidTr="003A0743">
        <w:trPr>
          <w:trHeight w:val="442"/>
          <w:jc w:val="center"/>
        </w:trPr>
        <w:tc>
          <w:tcPr>
            <w:tcW w:w="709" w:type="dxa"/>
            <w:vAlign w:val="center"/>
          </w:tcPr>
          <w:p w:rsidR="003213D4" w:rsidRPr="00FD1BC5" w:rsidRDefault="003213D4" w:rsidP="00F85586">
            <w:pPr>
              <w:autoSpaceDE w:val="0"/>
              <w:autoSpaceDN w:val="0"/>
              <w:adjustRightInd w:val="0"/>
              <w:spacing w:line="300" w:lineRule="auto"/>
              <w:ind w:firstLineChars="100" w:firstLine="210"/>
              <w:rPr>
                <w:rFonts w:ascii="宋体" w:hAnsi="宋体" w:cs="宋体"/>
                <w:color w:val="000000"/>
                <w:kern w:val="0"/>
                <w:sz w:val="21"/>
              </w:rPr>
            </w:pPr>
            <w:r w:rsidRPr="00FD1BC5">
              <w:rPr>
                <w:rFonts w:ascii="宋体" w:hAnsi="宋体" w:cs="宋体"/>
                <w:color w:val="000000"/>
                <w:kern w:val="0"/>
                <w:sz w:val="21"/>
              </w:rPr>
              <w:t>2</w:t>
            </w:r>
          </w:p>
        </w:tc>
        <w:tc>
          <w:tcPr>
            <w:tcW w:w="2552"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证券投资</w:t>
            </w:r>
          </w:p>
        </w:tc>
        <w:tc>
          <w:tcPr>
            <w:tcW w:w="4252" w:type="dxa"/>
          </w:tcPr>
          <w:p w:rsidR="003213D4" w:rsidRPr="00FD1BC5" w:rsidRDefault="003213D4" w:rsidP="00F85586">
            <w:pPr>
              <w:autoSpaceDE w:val="0"/>
              <w:autoSpaceDN w:val="0"/>
              <w:adjustRightInd w:val="0"/>
              <w:spacing w:line="300" w:lineRule="auto"/>
              <w:rPr>
                <w:rFonts w:ascii="宋体" w:hAnsi="宋体" w:cs="宋体"/>
                <w:color w:val="000000"/>
                <w:kern w:val="0"/>
                <w:sz w:val="21"/>
              </w:rPr>
            </w:pPr>
            <w:r w:rsidRPr="00FD1BC5">
              <w:rPr>
                <w:rFonts w:ascii="宋体" w:hAnsi="宋体" w:cs="宋体" w:hint="eastAsia"/>
                <w:color w:val="000000"/>
                <w:kern w:val="0"/>
                <w:sz w:val="21"/>
              </w:rPr>
              <w:t>证券投资、投资银行业务、私</w:t>
            </w:r>
            <w:proofErr w:type="gramStart"/>
            <w:r w:rsidRPr="00FD1BC5">
              <w:rPr>
                <w:rFonts w:ascii="宋体" w:hAnsi="宋体" w:cs="宋体" w:hint="eastAsia"/>
                <w:color w:val="000000"/>
                <w:kern w:val="0"/>
                <w:sz w:val="21"/>
              </w:rPr>
              <w:t>募股权</w:t>
            </w:r>
            <w:proofErr w:type="gramEnd"/>
            <w:r w:rsidRPr="00FD1BC5">
              <w:rPr>
                <w:rFonts w:ascii="宋体" w:hAnsi="宋体" w:cs="宋体" w:hint="eastAsia"/>
                <w:color w:val="000000"/>
                <w:kern w:val="0"/>
                <w:sz w:val="21"/>
              </w:rPr>
              <w:t>及风险投资等</w:t>
            </w:r>
          </w:p>
        </w:tc>
        <w:tc>
          <w:tcPr>
            <w:tcW w:w="709"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p>
        </w:tc>
      </w:tr>
      <w:tr w:rsidR="003213D4" w:rsidRPr="00FD1BC5" w:rsidTr="003A0743">
        <w:trPr>
          <w:trHeight w:val="642"/>
          <w:jc w:val="center"/>
        </w:trPr>
        <w:tc>
          <w:tcPr>
            <w:tcW w:w="709" w:type="dxa"/>
            <w:vAlign w:val="center"/>
          </w:tcPr>
          <w:p w:rsidR="003213D4" w:rsidRPr="00FD1BC5" w:rsidRDefault="003213D4" w:rsidP="00F85586">
            <w:pPr>
              <w:autoSpaceDE w:val="0"/>
              <w:autoSpaceDN w:val="0"/>
              <w:adjustRightInd w:val="0"/>
              <w:spacing w:line="300" w:lineRule="auto"/>
              <w:ind w:firstLineChars="100" w:firstLine="210"/>
              <w:rPr>
                <w:rFonts w:ascii="宋体" w:hAnsi="宋体" w:cs="宋体"/>
                <w:color w:val="000000"/>
                <w:kern w:val="0"/>
                <w:sz w:val="21"/>
              </w:rPr>
            </w:pPr>
            <w:r w:rsidRPr="00FD1BC5">
              <w:rPr>
                <w:rFonts w:ascii="宋体" w:hAnsi="宋体" w:cs="宋体" w:hint="eastAsia"/>
                <w:color w:val="000000"/>
                <w:kern w:val="0"/>
                <w:sz w:val="21"/>
              </w:rPr>
              <w:t>3</w:t>
            </w:r>
          </w:p>
        </w:tc>
        <w:tc>
          <w:tcPr>
            <w:tcW w:w="2552"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r w:rsidRPr="00FD1BC5">
              <w:rPr>
                <w:rFonts w:ascii="宋体" w:hAnsi="宋体" w:cs="宋体" w:hint="eastAsia"/>
                <w:color w:val="000000"/>
                <w:kern w:val="0"/>
                <w:sz w:val="21"/>
              </w:rPr>
              <w:t>公司金融</w:t>
            </w:r>
          </w:p>
        </w:tc>
        <w:tc>
          <w:tcPr>
            <w:tcW w:w="4252" w:type="dxa"/>
          </w:tcPr>
          <w:p w:rsidR="003213D4" w:rsidRPr="00FD1BC5" w:rsidRDefault="003213D4" w:rsidP="00F85586">
            <w:pPr>
              <w:autoSpaceDE w:val="0"/>
              <w:autoSpaceDN w:val="0"/>
              <w:adjustRightInd w:val="0"/>
              <w:spacing w:line="300" w:lineRule="auto"/>
              <w:rPr>
                <w:rFonts w:ascii="宋体" w:hAnsi="宋体" w:cs="宋体"/>
                <w:color w:val="000000"/>
                <w:kern w:val="0"/>
                <w:sz w:val="21"/>
              </w:rPr>
            </w:pPr>
            <w:r w:rsidRPr="00FD1BC5">
              <w:rPr>
                <w:rFonts w:ascii="宋体" w:hAnsi="宋体" w:cs="宋体" w:hint="eastAsia"/>
                <w:color w:val="000000"/>
                <w:kern w:val="0"/>
                <w:sz w:val="21"/>
              </w:rPr>
              <w:t>公司投融资、资本营运、并购重组、资本结构与公司治理等</w:t>
            </w:r>
          </w:p>
        </w:tc>
        <w:tc>
          <w:tcPr>
            <w:tcW w:w="709" w:type="dxa"/>
            <w:vAlign w:val="center"/>
          </w:tcPr>
          <w:p w:rsidR="003213D4" w:rsidRPr="00FD1BC5" w:rsidRDefault="003213D4" w:rsidP="00F85586">
            <w:pPr>
              <w:autoSpaceDE w:val="0"/>
              <w:autoSpaceDN w:val="0"/>
              <w:adjustRightInd w:val="0"/>
              <w:spacing w:line="300" w:lineRule="auto"/>
              <w:jc w:val="center"/>
              <w:rPr>
                <w:rFonts w:ascii="宋体" w:hAnsi="宋体" w:cs="宋体"/>
                <w:color w:val="000000"/>
                <w:kern w:val="0"/>
                <w:sz w:val="21"/>
              </w:rPr>
            </w:pPr>
          </w:p>
        </w:tc>
      </w:tr>
    </w:tbl>
    <w:p w:rsidR="007E3869" w:rsidRPr="003213D4" w:rsidRDefault="003213D4" w:rsidP="009856E3">
      <w:pPr>
        <w:spacing w:before="240" w:after="240"/>
        <w:rPr>
          <w:rFonts w:ascii="宋体" w:hAnsi="宋体" w:cs="Times New Roman"/>
          <w:b/>
          <w:bCs/>
          <w:color w:val="000000"/>
          <w:sz w:val="28"/>
          <w:szCs w:val="28"/>
        </w:rPr>
      </w:pPr>
      <w:r w:rsidRPr="003213D4">
        <w:rPr>
          <w:rFonts w:ascii="宋体" w:hAnsi="宋体" w:cs="Times New Roman" w:hint="eastAsia"/>
          <w:b/>
          <w:bCs/>
          <w:color w:val="000000"/>
          <w:sz w:val="28"/>
          <w:szCs w:val="28"/>
        </w:rPr>
        <w:t>二</w:t>
      </w:r>
      <w:r w:rsidR="007E3869" w:rsidRPr="003213D4">
        <w:rPr>
          <w:rFonts w:ascii="宋体" w:hAnsi="宋体" w:cs="Times New Roman"/>
          <w:b/>
          <w:bCs/>
          <w:color w:val="000000"/>
          <w:sz w:val="28"/>
          <w:szCs w:val="28"/>
        </w:rPr>
        <w:t>、培养目标</w:t>
      </w:r>
    </w:p>
    <w:p w:rsidR="007E3869" w:rsidRPr="003213D4" w:rsidRDefault="007E3869" w:rsidP="00F75FBF">
      <w:pPr>
        <w:widowControl/>
        <w:spacing w:before="240" w:after="240"/>
        <w:ind w:firstLineChars="200" w:firstLine="420"/>
        <w:jc w:val="left"/>
        <w:rPr>
          <w:rFonts w:ascii="宋体" w:hAnsi="宋体" w:cs="宋体"/>
          <w:kern w:val="0"/>
          <w:sz w:val="21"/>
          <w:szCs w:val="21"/>
        </w:rPr>
      </w:pPr>
      <w:r w:rsidRPr="003213D4">
        <w:rPr>
          <w:rFonts w:ascii="宋体" w:hAnsi="宋体" w:cs="Times New Roman" w:hint="eastAsia"/>
          <w:color w:val="000000"/>
          <w:sz w:val="21"/>
          <w:szCs w:val="21"/>
        </w:rPr>
        <w:t>紧密结合金融实务，培养</w:t>
      </w:r>
      <w:r w:rsidRPr="003213D4">
        <w:rPr>
          <w:rFonts w:ascii="宋体" w:hAnsi="宋体" w:cs="宋体"/>
          <w:kern w:val="0"/>
          <w:sz w:val="21"/>
          <w:szCs w:val="21"/>
        </w:rPr>
        <w:t>具有扎实的金融学理论基础，良好的职业道德，富有创新和进取精神，较强的从事金融实际工作能力的高层次应用型金融专业人才。</w:t>
      </w:r>
    </w:p>
    <w:p w:rsidR="007E3869" w:rsidRPr="00F75FBF" w:rsidRDefault="007E3869" w:rsidP="00F75FBF">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通过培养学习，使学生</w:t>
      </w:r>
      <w:r w:rsidRPr="00F75FBF">
        <w:rPr>
          <w:rFonts w:ascii="宋体" w:hAnsi="宋体" w:cs="Times New Roman"/>
          <w:color w:val="000000"/>
          <w:sz w:val="21"/>
          <w:szCs w:val="21"/>
        </w:rPr>
        <w:t>德智体美全面发展</w:t>
      </w:r>
      <w:r w:rsidRPr="00F75FBF">
        <w:rPr>
          <w:rFonts w:ascii="宋体" w:hAnsi="宋体" w:cs="Times New Roman" w:hint="eastAsia"/>
          <w:color w:val="000000"/>
          <w:sz w:val="21"/>
          <w:szCs w:val="21"/>
        </w:rPr>
        <w:t>，</w:t>
      </w:r>
      <w:r w:rsidRPr="00F75FBF">
        <w:rPr>
          <w:rFonts w:ascii="宋体" w:hAnsi="宋体" w:cs="Times New Roman"/>
          <w:color w:val="000000"/>
          <w:sz w:val="21"/>
          <w:szCs w:val="21"/>
        </w:rPr>
        <w:t>具备良好的职业道德、专业素养和综合素质</w:t>
      </w:r>
      <w:r w:rsidRPr="00F75FBF">
        <w:rPr>
          <w:rFonts w:ascii="宋体" w:hAnsi="宋体" w:cs="Times New Roman" w:hint="eastAsia"/>
          <w:color w:val="000000"/>
          <w:sz w:val="21"/>
          <w:szCs w:val="21"/>
        </w:rPr>
        <w:t>，</w:t>
      </w:r>
      <w:r w:rsidRPr="00F75FBF">
        <w:rPr>
          <w:rFonts w:ascii="宋体" w:hAnsi="宋体" w:cs="Times New Roman"/>
          <w:color w:val="000000"/>
          <w:sz w:val="21"/>
          <w:szCs w:val="21"/>
        </w:rPr>
        <w:t>具备扎实的金融学理论基础与技能，具有前瞻性和国际化视野，能够应用金融学的相关理论和方法解决实际问题</w:t>
      </w:r>
      <w:r w:rsidRPr="00F75FBF">
        <w:rPr>
          <w:rFonts w:ascii="宋体" w:hAnsi="宋体" w:cs="Times New Roman" w:hint="eastAsia"/>
          <w:color w:val="000000"/>
          <w:sz w:val="21"/>
          <w:szCs w:val="21"/>
        </w:rPr>
        <w:t>（具体见</w:t>
      </w:r>
      <w:r w:rsidR="00091BCE" w:rsidRPr="00F75FBF">
        <w:rPr>
          <w:rFonts w:ascii="宋体" w:hAnsi="宋体" w:cs="Times New Roman" w:hint="eastAsia"/>
          <w:color w:val="000000"/>
          <w:sz w:val="21"/>
          <w:szCs w:val="21"/>
        </w:rPr>
        <w:t>附</w:t>
      </w:r>
      <w:r w:rsidR="00F75FBF">
        <w:rPr>
          <w:rFonts w:ascii="宋体" w:hAnsi="宋体" w:cs="Times New Roman" w:hint="eastAsia"/>
          <w:color w:val="000000"/>
          <w:sz w:val="21"/>
          <w:szCs w:val="21"/>
        </w:rPr>
        <w:t>表</w:t>
      </w:r>
      <w:r w:rsidRPr="00F75FBF">
        <w:rPr>
          <w:rFonts w:ascii="宋体" w:hAnsi="宋体" w:cs="Times New Roman" w:hint="eastAsia"/>
          <w:color w:val="000000"/>
          <w:sz w:val="21"/>
          <w:szCs w:val="21"/>
        </w:rPr>
        <w:t>毕业生能力目标要求</w:t>
      </w:r>
      <w:r w:rsidR="003213D4" w:rsidRPr="00F75FBF">
        <w:rPr>
          <w:rFonts w:ascii="宋体" w:hAnsi="宋体" w:cs="Times New Roman" w:hint="eastAsia"/>
          <w:color w:val="000000"/>
          <w:sz w:val="21"/>
          <w:szCs w:val="21"/>
        </w:rPr>
        <w:t>）</w:t>
      </w:r>
      <w:r w:rsidRPr="00F75FBF">
        <w:rPr>
          <w:rFonts w:ascii="宋体" w:hAnsi="宋体" w:cs="Times New Roman" w:hint="eastAsia"/>
          <w:color w:val="000000"/>
          <w:sz w:val="21"/>
          <w:szCs w:val="21"/>
        </w:rPr>
        <w:t>。</w:t>
      </w:r>
    </w:p>
    <w:p w:rsidR="00E247AA" w:rsidRPr="003213D4" w:rsidRDefault="003213D4" w:rsidP="00F75FBF">
      <w:pPr>
        <w:spacing w:before="240" w:after="240"/>
        <w:rPr>
          <w:rFonts w:ascii="宋体" w:hAnsi="宋体" w:cs="Times New Roman"/>
          <w:b/>
          <w:bCs/>
          <w:color w:val="000000"/>
          <w:sz w:val="28"/>
          <w:szCs w:val="28"/>
        </w:rPr>
      </w:pPr>
      <w:r w:rsidRPr="003213D4">
        <w:rPr>
          <w:rFonts w:ascii="宋体" w:hAnsi="宋体" w:cs="Times New Roman" w:hint="eastAsia"/>
          <w:b/>
          <w:bCs/>
          <w:color w:val="000000"/>
          <w:sz w:val="28"/>
          <w:szCs w:val="28"/>
        </w:rPr>
        <w:t>三</w:t>
      </w:r>
      <w:r w:rsidR="00E247AA" w:rsidRPr="003213D4">
        <w:rPr>
          <w:rFonts w:ascii="宋体" w:hAnsi="宋体" w:cs="Times New Roman"/>
          <w:b/>
          <w:bCs/>
          <w:color w:val="000000"/>
          <w:sz w:val="28"/>
          <w:szCs w:val="28"/>
        </w:rPr>
        <w:t>、培养方式</w:t>
      </w:r>
      <w:r w:rsidR="00E247AA" w:rsidRPr="003213D4">
        <w:rPr>
          <w:rFonts w:ascii="宋体" w:hAnsi="宋体" w:cs="Times New Roman" w:hint="eastAsia"/>
          <w:b/>
          <w:bCs/>
          <w:color w:val="000000"/>
          <w:sz w:val="28"/>
          <w:szCs w:val="28"/>
        </w:rPr>
        <w:t>与学习年限</w:t>
      </w:r>
    </w:p>
    <w:p w:rsidR="00E247AA" w:rsidRPr="00F75FBF" w:rsidRDefault="00E247AA" w:rsidP="004802D3">
      <w:pPr>
        <w:widowControl/>
        <w:spacing w:before="120" w:afterLines="5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（一） 培养方式</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1. </w:t>
      </w:r>
      <w:r w:rsidRPr="00F75FBF">
        <w:rPr>
          <w:rFonts w:ascii="宋体" w:hAnsi="宋体" w:cs="Times New Roman"/>
          <w:color w:val="000000"/>
          <w:sz w:val="21"/>
          <w:szCs w:val="21"/>
        </w:rPr>
        <w:t>采用学分制。金融硕士专业学位研究生修满规定的学分，成绩合格者可进入学位论文写作阶段；论文答辩通过后按规定的程序授予金融硕士专业学位。</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2. </w:t>
      </w:r>
      <w:r w:rsidRPr="00F75FBF">
        <w:rPr>
          <w:rFonts w:ascii="宋体" w:hAnsi="宋体" w:cs="Times New Roman"/>
          <w:color w:val="000000"/>
          <w:sz w:val="21"/>
          <w:szCs w:val="21"/>
        </w:rPr>
        <w:t>教学方式注重理论联系实际，采用课堂讲授与案例教学相结合，培养学生分析问题和解决问题的能力，并聘请有实践经验的专家、企业家和监管部门的人员开设讲座或承担部分课程。</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3. </w:t>
      </w:r>
      <w:r w:rsidRPr="00F75FBF">
        <w:rPr>
          <w:rFonts w:ascii="宋体" w:hAnsi="宋体" w:cs="Times New Roman"/>
          <w:color w:val="000000"/>
          <w:sz w:val="21"/>
          <w:szCs w:val="21"/>
        </w:rPr>
        <w:t>考评方式要综合评定学生的学习成绩，包括考试、平时作业、案例分析、课堂讨论、撰写专题报告等。</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4. </w:t>
      </w:r>
      <w:r w:rsidRPr="00F75FBF">
        <w:rPr>
          <w:rFonts w:ascii="宋体" w:hAnsi="宋体" w:cs="Times New Roman"/>
          <w:color w:val="000000"/>
          <w:sz w:val="21"/>
          <w:szCs w:val="21"/>
        </w:rPr>
        <w:t>加强实践环节。</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5. </w:t>
      </w:r>
      <w:r w:rsidRPr="00F75FBF">
        <w:rPr>
          <w:rFonts w:ascii="宋体" w:hAnsi="宋体" w:cs="Times New Roman"/>
          <w:color w:val="000000"/>
          <w:sz w:val="21"/>
          <w:szCs w:val="21"/>
        </w:rPr>
        <w:t>注重职业道德的培养。</w:t>
      </w:r>
    </w:p>
    <w:p w:rsidR="00E247AA" w:rsidRPr="00F75FBF" w:rsidRDefault="00E247AA" w:rsidP="004802D3">
      <w:pPr>
        <w:widowControl/>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 xml:space="preserve">6. </w:t>
      </w:r>
      <w:r w:rsidRPr="00F75FBF">
        <w:rPr>
          <w:rFonts w:ascii="宋体" w:hAnsi="宋体" w:cs="Times New Roman"/>
          <w:color w:val="000000"/>
          <w:sz w:val="21"/>
          <w:szCs w:val="21"/>
        </w:rPr>
        <w:t>设置论文导师制度。</w:t>
      </w:r>
    </w:p>
    <w:p w:rsidR="00E247AA" w:rsidRPr="00F75FBF" w:rsidRDefault="00E247AA" w:rsidP="004802D3">
      <w:pPr>
        <w:widowControl/>
        <w:spacing w:before="240" w:after="12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（二） 学习年限</w:t>
      </w:r>
    </w:p>
    <w:p w:rsidR="00E247AA" w:rsidRPr="00F75FBF" w:rsidRDefault="00E247AA" w:rsidP="004802D3">
      <w:pPr>
        <w:widowControl/>
        <w:spacing w:before="12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基本修业年限为： 2年；最长修业年限为： 全日制4年；非全日制5年。</w:t>
      </w:r>
    </w:p>
    <w:p w:rsidR="00E247AA" w:rsidRPr="003213D4" w:rsidRDefault="003213D4" w:rsidP="00F75FBF">
      <w:pPr>
        <w:spacing w:before="240" w:after="240"/>
        <w:rPr>
          <w:rFonts w:ascii="宋体" w:hAnsi="宋体" w:cs="Times New Roman"/>
          <w:b/>
          <w:bCs/>
          <w:color w:val="000000"/>
          <w:sz w:val="28"/>
          <w:szCs w:val="28"/>
        </w:rPr>
      </w:pPr>
      <w:r>
        <w:rPr>
          <w:rFonts w:ascii="宋体" w:hAnsi="宋体" w:cs="Times New Roman" w:hint="eastAsia"/>
          <w:b/>
          <w:bCs/>
          <w:color w:val="000000"/>
          <w:sz w:val="28"/>
          <w:szCs w:val="28"/>
        </w:rPr>
        <w:lastRenderedPageBreak/>
        <w:t>四</w:t>
      </w:r>
      <w:r w:rsidR="00E247AA" w:rsidRPr="003213D4">
        <w:rPr>
          <w:rFonts w:ascii="宋体" w:hAnsi="宋体" w:cs="Times New Roman"/>
          <w:b/>
          <w:bCs/>
          <w:color w:val="000000"/>
          <w:sz w:val="28"/>
          <w:szCs w:val="28"/>
        </w:rPr>
        <w:t>、</w:t>
      </w:r>
      <w:r w:rsidR="00E247AA" w:rsidRPr="003213D4">
        <w:rPr>
          <w:rFonts w:ascii="宋体" w:hAnsi="宋体" w:cs="Times New Roman" w:hint="eastAsia"/>
          <w:b/>
          <w:bCs/>
          <w:color w:val="000000"/>
          <w:sz w:val="28"/>
          <w:szCs w:val="28"/>
        </w:rPr>
        <w:t>课程设置与学分</w:t>
      </w:r>
    </w:p>
    <w:p w:rsidR="00E247AA" w:rsidRPr="00F75FBF" w:rsidRDefault="00E247AA" w:rsidP="00F75FBF">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color w:val="000000"/>
          <w:sz w:val="21"/>
          <w:szCs w:val="21"/>
        </w:rPr>
        <w:t>金融硕士专业学位的总学分不少于</w:t>
      </w:r>
      <w:r w:rsidRPr="00F75FBF">
        <w:rPr>
          <w:rFonts w:ascii="宋体" w:hAnsi="宋体" w:cs="Times New Roman" w:hint="eastAsia"/>
          <w:color w:val="000000"/>
          <w:sz w:val="21"/>
          <w:szCs w:val="21"/>
        </w:rPr>
        <w:t>40</w:t>
      </w:r>
      <w:r w:rsidRPr="00F75FBF">
        <w:rPr>
          <w:rFonts w:ascii="宋体" w:hAnsi="宋体" w:cs="Times New Roman"/>
          <w:color w:val="000000"/>
          <w:sz w:val="21"/>
          <w:szCs w:val="21"/>
        </w:rPr>
        <w:t>分，其中，必修课不少于1</w:t>
      </w:r>
      <w:r w:rsidRPr="00F75FBF">
        <w:rPr>
          <w:rFonts w:ascii="宋体" w:hAnsi="宋体" w:cs="Times New Roman" w:hint="eastAsia"/>
          <w:color w:val="000000"/>
          <w:sz w:val="21"/>
          <w:szCs w:val="21"/>
        </w:rPr>
        <w:t>8</w:t>
      </w:r>
      <w:r w:rsidRPr="00F75FBF">
        <w:rPr>
          <w:rFonts w:ascii="宋体" w:hAnsi="宋体" w:cs="Times New Roman"/>
          <w:color w:val="000000"/>
          <w:sz w:val="21"/>
          <w:szCs w:val="21"/>
        </w:rPr>
        <w:t>学分，</w:t>
      </w:r>
      <w:r w:rsidRPr="00F75FBF">
        <w:rPr>
          <w:rFonts w:ascii="宋体" w:hAnsi="宋体" w:cs="Times New Roman" w:hint="eastAsia"/>
          <w:color w:val="000000"/>
          <w:sz w:val="21"/>
          <w:szCs w:val="21"/>
        </w:rPr>
        <w:t>限选</w:t>
      </w:r>
      <w:r w:rsidRPr="00F75FBF">
        <w:rPr>
          <w:rFonts w:ascii="宋体" w:hAnsi="宋体" w:cs="Times New Roman"/>
          <w:color w:val="000000"/>
          <w:sz w:val="21"/>
          <w:szCs w:val="21"/>
        </w:rPr>
        <w:t>课不少于6学分，</w:t>
      </w:r>
      <w:r w:rsidRPr="00F75FBF">
        <w:rPr>
          <w:rFonts w:ascii="宋体" w:hAnsi="宋体" w:cs="Times New Roman" w:hint="eastAsia"/>
          <w:color w:val="000000"/>
          <w:sz w:val="21"/>
          <w:szCs w:val="21"/>
        </w:rPr>
        <w:t>选修课不少于10学分，</w:t>
      </w:r>
      <w:r w:rsidRPr="00F75FBF">
        <w:rPr>
          <w:rFonts w:ascii="宋体" w:hAnsi="宋体" w:cs="Times New Roman"/>
          <w:color w:val="000000"/>
          <w:sz w:val="21"/>
          <w:szCs w:val="21"/>
        </w:rPr>
        <w:t>专业实习</w:t>
      </w:r>
      <w:r w:rsidRPr="00F75FBF">
        <w:rPr>
          <w:rFonts w:ascii="宋体" w:hAnsi="宋体" w:cs="Times New Roman" w:hint="eastAsia"/>
          <w:color w:val="000000"/>
          <w:sz w:val="21"/>
          <w:szCs w:val="21"/>
        </w:rPr>
        <w:t>等实践环节6</w:t>
      </w:r>
      <w:r w:rsidRPr="00F75FBF">
        <w:rPr>
          <w:rFonts w:ascii="宋体" w:hAnsi="宋体" w:cs="Times New Roman"/>
          <w:color w:val="000000"/>
          <w:sz w:val="21"/>
          <w:szCs w:val="21"/>
        </w:rPr>
        <w:t>学分，毕业论文不计学分。</w:t>
      </w:r>
      <w:r w:rsidR="00A81038" w:rsidRPr="00F75FBF">
        <w:rPr>
          <w:rFonts w:ascii="宋体" w:hAnsi="宋体" w:cs="Times New Roman" w:hint="eastAsia"/>
          <w:color w:val="000000"/>
          <w:sz w:val="21"/>
          <w:szCs w:val="21"/>
        </w:rPr>
        <w:t>具体课程</w:t>
      </w:r>
      <w:proofErr w:type="gramStart"/>
      <w:r w:rsidR="00A81038" w:rsidRPr="00F75FBF">
        <w:rPr>
          <w:rFonts w:ascii="宋体" w:hAnsi="宋体" w:cs="Times New Roman" w:hint="eastAsia"/>
          <w:color w:val="000000"/>
          <w:sz w:val="21"/>
          <w:szCs w:val="21"/>
        </w:rPr>
        <w:t>设置见</w:t>
      </w:r>
      <w:proofErr w:type="gramEnd"/>
      <w:r w:rsidR="00A81038" w:rsidRPr="00F75FBF">
        <w:rPr>
          <w:rFonts w:ascii="宋体" w:hAnsi="宋体" w:cs="Times New Roman" w:hint="eastAsia"/>
          <w:color w:val="000000"/>
          <w:sz w:val="21"/>
          <w:szCs w:val="21"/>
        </w:rPr>
        <w:t>附表。</w:t>
      </w:r>
    </w:p>
    <w:p w:rsidR="00E247AA" w:rsidRDefault="00E247AA" w:rsidP="00F75FBF">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本科非金融专业学生还需要补修《经济学原理》、《会计学原理》、《金融学》、《公司金融》</w:t>
      </w:r>
      <w:r w:rsidR="002D029E">
        <w:rPr>
          <w:rFonts w:ascii="宋体" w:hAnsi="宋体" w:cs="Times New Roman" w:hint="eastAsia"/>
          <w:color w:val="000000"/>
          <w:sz w:val="21"/>
          <w:szCs w:val="21"/>
        </w:rPr>
        <w:t>（或财务管理）</w:t>
      </w:r>
      <w:r w:rsidRPr="00F75FBF">
        <w:rPr>
          <w:rFonts w:ascii="宋体" w:hAnsi="宋体" w:cs="Times New Roman" w:hint="eastAsia"/>
          <w:color w:val="000000"/>
          <w:sz w:val="21"/>
          <w:szCs w:val="21"/>
        </w:rPr>
        <w:t>、《投资学》等课程</w:t>
      </w:r>
      <w:r w:rsidRPr="00F75FBF">
        <w:rPr>
          <w:rFonts w:ascii="宋体" w:hAnsi="宋体" w:cs="Times New Roman"/>
          <w:color w:val="000000"/>
          <w:sz w:val="21"/>
          <w:szCs w:val="21"/>
        </w:rPr>
        <w:t>。</w:t>
      </w:r>
      <w:r w:rsidRPr="00F75FBF">
        <w:rPr>
          <w:rFonts w:ascii="宋体" w:hAnsi="宋体" w:cs="Times New Roman" w:hint="eastAsia"/>
          <w:color w:val="000000"/>
          <w:sz w:val="21"/>
          <w:szCs w:val="21"/>
        </w:rPr>
        <w:t>参加金融硕士全国研究生入学统一考试</w:t>
      </w:r>
      <w:r w:rsidR="00925BC7" w:rsidRPr="00925BC7">
        <w:rPr>
          <w:rFonts w:ascii="宋体" w:hAnsi="宋体" w:cs="Times New Roman" w:hint="eastAsia"/>
          <w:color w:val="000000"/>
          <w:sz w:val="21"/>
          <w:szCs w:val="21"/>
        </w:rPr>
        <w:t>且《金融学综合》</w:t>
      </w:r>
      <w:r w:rsidR="00925BC7">
        <w:rPr>
          <w:rFonts w:ascii="宋体" w:hAnsi="宋体" w:cs="Times New Roman" w:hint="eastAsia"/>
          <w:color w:val="000000"/>
          <w:sz w:val="21"/>
          <w:szCs w:val="21"/>
        </w:rPr>
        <w:t>成绩</w:t>
      </w:r>
      <w:r w:rsidR="00925BC7" w:rsidRPr="00925BC7">
        <w:rPr>
          <w:rFonts w:ascii="宋体" w:hAnsi="宋体" w:cs="Times New Roman" w:hint="eastAsia"/>
          <w:color w:val="000000"/>
          <w:sz w:val="21"/>
          <w:szCs w:val="21"/>
        </w:rPr>
        <w:t>在</w:t>
      </w:r>
      <w:r w:rsidR="00646FC2" w:rsidRPr="00646FC2">
        <w:rPr>
          <w:rFonts w:ascii="宋体" w:hAnsi="宋体" w:cs="Times New Roman" w:hint="eastAsia"/>
          <w:color w:val="FF0000"/>
          <w:sz w:val="21"/>
          <w:szCs w:val="21"/>
        </w:rPr>
        <w:t>1</w:t>
      </w:r>
      <w:r w:rsidR="00925BC7" w:rsidRPr="00646FC2">
        <w:rPr>
          <w:rFonts w:ascii="宋体" w:hAnsi="宋体" w:cs="Times New Roman" w:hint="eastAsia"/>
          <w:color w:val="FF0000"/>
          <w:sz w:val="21"/>
          <w:szCs w:val="21"/>
        </w:rPr>
        <w:t>0</w:t>
      </w:r>
      <w:r w:rsidR="00646FC2" w:rsidRPr="00646FC2">
        <w:rPr>
          <w:rFonts w:ascii="宋体" w:hAnsi="宋体" w:cs="Times New Roman" w:hint="eastAsia"/>
          <w:color w:val="FF0000"/>
          <w:sz w:val="21"/>
          <w:szCs w:val="21"/>
        </w:rPr>
        <w:t>5</w:t>
      </w:r>
      <w:r w:rsidR="00925BC7" w:rsidRPr="00925BC7">
        <w:rPr>
          <w:rFonts w:ascii="宋体" w:hAnsi="宋体" w:cs="Times New Roman" w:hint="eastAsia"/>
          <w:color w:val="000000"/>
          <w:sz w:val="21"/>
          <w:szCs w:val="21"/>
        </w:rPr>
        <w:t>分以上者</w:t>
      </w:r>
      <w:r w:rsidRPr="00F75FBF">
        <w:rPr>
          <w:rFonts w:ascii="宋体" w:hAnsi="宋体" w:cs="Times New Roman" w:hint="eastAsia"/>
          <w:color w:val="000000"/>
          <w:sz w:val="21"/>
          <w:szCs w:val="21"/>
        </w:rPr>
        <w:t>，可免补修</w:t>
      </w:r>
      <w:r w:rsidR="00925BC7">
        <w:rPr>
          <w:rFonts w:ascii="宋体" w:hAnsi="宋体" w:cs="Times New Roman" w:hint="eastAsia"/>
          <w:color w:val="000000"/>
          <w:sz w:val="21"/>
          <w:szCs w:val="21"/>
        </w:rPr>
        <w:t>《金融学》</w:t>
      </w:r>
      <w:r w:rsidRPr="00F75FBF">
        <w:rPr>
          <w:rFonts w:ascii="宋体" w:hAnsi="宋体" w:cs="Times New Roman" w:hint="eastAsia"/>
          <w:color w:val="000000"/>
          <w:sz w:val="21"/>
          <w:szCs w:val="21"/>
        </w:rPr>
        <w:t>和</w:t>
      </w:r>
      <w:r w:rsidR="00925BC7">
        <w:rPr>
          <w:rFonts w:ascii="宋体" w:hAnsi="宋体" w:cs="Times New Roman" w:hint="eastAsia"/>
          <w:color w:val="000000"/>
          <w:sz w:val="21"/>
          <w:szCs w:val="21"/>
        </w:rPr>
        <w:t>《公司金融》</w:t>
      </w:r>
      <w:r w:rsidRPr="00F75FBF">
        <w:rPr>
          <w:rFonts w:ascii="宋体" w:hAnsi="宋体" w:cs="Times New Roman" w:hint="eastAsia"/>
          <w:color w:val="000000"/>
          <w:sz w:val="21"/>
          <w:szCs w:val="21"/>
        </w:rPr>
        <w:t>。</w:t>
      </w:r>
    </w:p>
    <w:p w:rsidR="00F75FBF" w:rsidRPr="00F75FBF" w:rsidRDefault="00F75FBF" w:rsidP="00F75FBF">
      <w:pPr>
        <w:spacing w:before="240" w:after="240"/>
        <w:rPr>
          <w:rFonts w:ascii="宋体" w:hAnsi="宋体" w:cs="Times New Roman"/>
          <w:b/>
          <w:bCs/>
          <w:color w:val="000000"/>
          <w:sz w:val="28"/>
          <w:szCs w:val="28"/>
        </w:rPr>
      </w:pPr>
      <w:r>
        <w:rPr>
          <w:rFonts w:ascii="宋体" w:hAnsi="宋体" w:cs="Times New Roman" w:hint="eastAsia"/>
          <w:b/>
          <w:bCs/>
          <w:color w:val="000000"/>
          <w:sz w:val="28"/>
          <w:szCs w:val="28"/>
        </w:rPr>
        <w:t>五</w:t>
      </w:r>
      <w:r w:rsidRPr="003213D4">
        <w:rPr>
          <w:rFonts w:ascii="宋体" w:hAnsi="宋体" w:cs="Times New Roman"/>
          <w:b/>
          <w:bCs/>
          <w:color w:val="000000"/>
          <w:sz w:val="28"/>
          <w:szCs w:val="28"/>
        </w:rPr>
        <w:t>、</w:t>
      </w:r>
      <w:r>
        <w:rPr>
          <w:rFonts w:ascii="宋体" w:hAnsi="宋体" w:cs="Times New Roman" w:hint="eastAsia"/>
          <w:b/>
          <w:bCs/>
          <w:color w:val="000000"/>
          <w:sz w:val="28"/>
          <w:szCs w:val="28"/>
        </w:rPr>
        <w:t>科学研究与实践</w:t>
      </w:r>
    </w:p>
    <w:p w:rsidR="00E247AA" w:rsidRPr="00F75FBF" w:rsidRDefault="00E247AA" w:rsidP="00D1354D">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金融硕士专业学位旨在培养具有金融理论知识和实践经验的专门人才，因此要求学生在毕业前到</w:t>
      </w:r>
      <w:r w:rsidRPr="00F75FBF">
        <w:rPr>
          <w:rFonts w:ascii="宋体" w:hAnsi="宋体" w:cs="Times New Roman"/>
          <w:color w:val="000000"/>
          <w:sz w:val="21"/>
          <w:szCs w:val="21"/>
        </w:rPr>
        <w:t>金融机构或政府及企事业单位的金融工作岗位实习不少于3个月。</w:t>
      </w:r>
    </w:p>
    <w:p w:rsidR="00E247AA" w:rsidRPr="003213D4" w:rsidRDefault="003213D4" w:rsidP="00F75FBF">
      <w:pPr>
        <w:spacing w:before="240" w:after="240"/>
        <w:rPr>
          <w:rFonts w:ascii="宋体" w:hAnsi="宋体" w:cs="Times New Roman"/>
          <w:b/>
          <w:bCs/>
          <w:color w:val="000000"/>
          <w:sz w:val="28"/>
          <w:szCs w:val="28"/>
        </w:rPr>
      </w:pPr>
      <w:r w:rsidRPr="003213D4">
        <w:rPr>
          <w:rFonts w:ascii="宋体" w:hAnsi="宋体" w:cs="Times New Roman" w:hint="eastAsia"/>
          <w:b/>
          <w:bCs/>
          <w:color w:val="000000"/>
          <w:sz w:val="28"/>
          <w:szCs w:val="28"/>
        </w:rPr>
        <w:t>六</w:t>
      </w:r>
      <w:r w:rsidR="00E247AA" w:rsidRPr="003213D4">
        <w:rPr>
          <w:rFonts w:ascii="宋体" w:hAnsi="宋体" w:cs="Times New Roman" w:hint="eastAsia"/>
          <w:b/>
          <w:bCs/>
          <w:color w:val="000000"/>
          <w:sz w:val="28"/>
          <w:szCs w:val="28"/>
        </w:rPr>
        <w:t>、</w:t>
      </w:r>
      <w:r w:rsidR="00E247AA" w:rsidRPr="003213D4">
        <w:rPr>
          <w:rFonts w:ascii="宋体" w:hAnsi="宋体" w:cs="Times New Roman"/>
          <w:b/>
          <w:bCs/>
          <w:color w:val="000000"/>
          <w:sz w:val="28"/>
          <w:szCs w:val="28"/>
        </w:rPr>
        <w:t>学位论文</w:t>
      </w:r>
    </w:p>
    <w:p w:rsidR="00E247AA" w:rsidRPr="00F75FBF" w:rsidRDefault="00E247AA" w:rsidP="00F75FBF">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color w:val="000000"/>
          <w:sz w:val="21"/>
          <w:szCs w:val="21"/>
        </w:rPr>
        <w:t>论文的基本形式主要有：案例分析、产品设计与金融实践问题解决方案、调研报告或基于实际问题分析的政策建议报告等。论文选题应紧密结合实践问题，提倡多种答辩形式。论文写作要规范，原则上不少于</w:t>
      </w:r>
      <w:r w:rsidRPr="00F75FBF">
        <w:rPr>
          <w:rFonts w:ascii="宋体" w:hAnsi="宋体" w:cs="Times New Roman" w:hint="eastAsia"/>
          <w:color w:val="000000"/>
          <w:sz w:val="21"/>
          <w:szCs w:val="21"/>
        </w:rPr>
        <w:t>3</w:t>
      </w:r>
      <w:r w:rsidRPr="00F75FBF">
        <w:rPr>
          <w:rFonts w:ascii="宋体" w:hAnsi="宋体" w:cs="Times New Roman"/>
          <w:color w:val="000000"/>
          <w:sz w:val="21"/>
          <w:szCs w:val="21"/>
        </w:rPr>
        <w:t>万字。</w:t>
      </w:r>
    </w:p>
    <w:p w:rsidR="00E247AA" w:rsidRPr="00F75FBF" w:rsidRDefault="00E247AA" w:rsidP="00F75FBF">
      <w:pPr>
        <w:widowControl/>
        <w:spacing w:before="240" w:after="240"/>
        <w:jc w:val="left"/>
        <w:rPr>
          <w:rFonts w:ascii="宋体" w:hAnsi="宋体" w:cs="Times New Roman"/>
          <w:color w:val="000000"/>
          <w:sz w:val="21"/>
          <w:szCs w:val="21"/>
        </w:rPr>
      </w:pPr>
      <w:r w:rsidRPr="00F75FBF">
        <w:rPr>
          <w:rFonts w:ascii="宋体" w:hAnsi="宋体" w:cs="Times New Roman" w:hint="eastAsia"/>
          <w:color w:val="000000"/>
          <w:sz w:val="21"/>
          <w:szCs w:val="21"/>
        </w:rPr>
        <w:t>（一） 论文的选题</w:t>
      </w:r>
    </w:p>
    <w:p w:rsidR="00E247AA" w:rsidRPr="00F75FBF" w:rsidRDefault="00E247AA" w:rsidP="00F75FBF">
      <w:pPr>
        <w:widowControl/>
        <w:spacing w:before="24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学位论文要与金融实践紧密结合，提倡案例分析、调研报告、金融产品设计、投资可行性分析报告等。</w:t>
      </w:r>
    </w:p>
    <w:p w:rsidR="00E247AA" w:rsidRPr="00F75FBF" w:rsidRDefault="00E247AA" w:rsidP="00F75FBF">
      <w:pPr>
        <w:widowControl/>
        <w:spacing w:before="240" w:after="240"/>
        <w:jc w:val="left"/>
        <w:rPr>
          <w:rFonts w:ascii="宋体" w:hAnsi="宋体" w:cs="宋体"/>
          <w:kern w:val="0"/>
          <w:sz w:val="21"/>
          <w:szCs w:val="21"/>
        </w:rPr>
      </w:pPr>
      <w:r w:rsidRPr="00F75FBF">
        <w:rPr>
          <w:rFonts w:ascii="宋体" w:hAnsi="宋体" w:cs="宋体" w:hint="eastAsia"/>
          <w:kern w:val="0"/>
          <w:sz w:val="21"/>
          <w:szCs w:val="21"/>
        </w:rPr>
        <w:t>（二） 论文进度</w:t>
      </w:r>
    </w:p>
    <w:p w:rsidR="00E247AA" w:rsidRPr="00F75FBF" w:rsidRDefault="00E247AA" w:rsidP="00F75FBF">
      <w:pPr>
        <w:widowControl/>
        <w:tabs>
          <w:tab w:val="left" w:pos="1080"/>
        </w:tabs>
        <w:snapToGrid w:val="0"/>
        <w:spacing w:before="240" w:after="240"/>
        <w:ind w:firstLineChars="200" w:firstLine="420"/>
        <w:rPr>
          <w:rFonts w:ascii="宋体" w:hAnsi="宋体" w:cs="宋体"/>
          <w:kern w:val="0"/>
          <w:sz w:val="21"/>
          <w:szCs w:val="21"/>
        </w:rPr>
      </w:pPr>
      <w:r w:rsidRPr="00F75FBF">
        <w:rPr>
          <w:rFonts w:ascii="宋体" w:hAnsi="宋体" w:cs="宋体" w:hint="eastAsia"/>
          <w:kern w:val="0"/>
          <w:sz w:val="21"/>
          <w:szCs w:val="21"/>
        </w:rPr>
        <w:t>1. 开题报告</w:t>
      </w:r>
    </w:p>
    <w:p w:rsidR="00E247AA" w:rsidRPr="00F75FBF" w:rsidRDefault="00E247AA" w:rsidP="00646FC2">
      <w:pPr>
        <w:widowControl/>
        <w:numPr>
          <w:ilvl w:val="0"/>
          <w:numId w:val="1"/>
        </w:numPr>
        <w:tabs>
          <w:tab w:val="left" w:pos="1080"/>
        </w:tabs>
        <w:snapToGrid w:val="0"/>
        <w:rPr>
          <w:rFonts w:ascii="宋体" w:hAnsi="宋体" w:cs="宋体"/>
          <w:kern w:val="0"/>
          <w:sz w:val="21"/>
          <w:szCs w:val="21"/>
        </w:rPr>
      </w:pPr>
      <w:r w:rsidRPr="00F75FBF">
        <w:rPr>
          <w:rFonts w:ascii="宋体" w:hAnsi="宋体" w:cs="宋体" w:hint="eastAsia"/>
          <w:kern w:val="0"/>
          <w:sz w:val="21"/>
          <w:szCs w:val="21"/>
        </w:rPr>
        <w:t>二年级上学期确定论文选题，查阅资料，写出开题报告；</w:t>
      </w:r>
    </w:p>
    <w:p w:rsidR="00E247AA" w:rsidRPr="00F75FBF" w:rsidRDefault="00E247AA"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开题报告的主要内容应包括选题的意义、国内外关于该选题研究的文献综述、本人的研究内容和思路框架、研究计划等；</w:t>
      </w:r>
    </w:p>
    <w:p w:rsidR="00E247AA" w:rsidRPr="00F75FBF" w:rsidRDefault="00E247AA" w:rsidP="00646FC2">
      <w:pPr>
        <w:widowControl/>
        <w:numPr>
          <w:ilvl w:val="0"/>
          <w:numId w:val="1"/>
        </w:numPr>
        <w:tabs>
          <w:tab w:val="left" w:pos="1080"/>
        </w:tabs>
        <w:snapToGrid w:val="0"/>
        <w:rPr>
          <w:rFonts w:ascii="宋体" w:hAnsi="宋体" w:cs="宋体"/>
          <w:kern w:val="0"/>
          <w:sz w:val="21"/>
          <w:szCs w:val="21"/>
        </w:rPr>
      </w:pPr>
      <w:r w:rsidRPr="00F75FBF">
        <w:rPr>
          <w:rFonts w:ascii="宋体" w:hAnsi="宋体" w:cs="宋体" w:hint="eastAsia"/>
          <w:kern w:val="0"/>
          <w:sz w:val="21"/>
          <w:szCs w:val="21"/>
        </w:rPr>
        <w:t>作开题报告时，应有本专业</w:t>
      </w:r>
      <w:r w:rsidRPr="00F75FBF">
        <w:rPr>
          <w:rFonts w:ascii="宋体" w:hAnsi="宋体" w:cs="宋体"/>
          <w:kern w:val="0"/>
          <w:sz w:val="21"/>
          <w:szCs w:val="21"/>
        </w:rPr>
        <w:t>3</w:t>
      </w:r>
      <w:r w:rsidRPr="00F75FBF">
        <w:rPr>
          <w:rFonts w:ascii="宋体" w:hAnsi="宋体" w:cs="宋体" w:hint="eastAsia"/>
          <w:kern w:val="0"/>
          <w:sz w:val="21"/>
          <w:szCs w:val="21"/>
        </w:rPr>
        <w:t>－</w:t>
      </w:r>
      <w:r w:rsidRPr="00F75FBF">
        <w:rPr>
          <w:rFonts w:ascii="宋体" w:hAnsi="宋体" w:cs="宋体"/>
          <w:kern w:val="0"/>
          <w:sz w:val="21"/>
          <w:szCs w:val="21"/>
        </w:rPr>
        <w:t>5</w:t>
      </w:r>
      <w:r w:rsidRPr="00F75FBF">
        <w:rPr>
          <w:rFonts w:ascii="宋体" w:hAnsi="宋体" w:cs="宋体" w:hint="eastAsia"/>
          <w:kern w:val="0"/>
          <w:sz w:val="21"/>
          <w:szCs w:val="21"/>
        </w:rPr>
        <w:t>位专职和兼职老师参加；</w:t>
      </w:r>
    </w:p>
    <w:p w:rsidR="00E247AA" w:rsidRPr="00F75FBF" w:rsidRDefault="00E247AA" w:rsidP="00646FC2">
      <w:pPr>
        <w:widowControl/>
        <w:numPr>
          <w:ilvl w:val="0"/>
          <w:numId w:val="1"/>
        </w:numPr>
        <w:tabs>
          <w:tab w:val="left" w:pos="1080"/>
        </w:tabs>
        <w:snapToGrid w:val="0"/>
        <w:rPr>
          <w:rFonts w:ascii="宋体" w:hAnsi="宋体" w:cs="宋体"/>
          <w:kern w:val="0"/>
          <w:sz w:val="21"/>
          <w:szCs w:val="21"/>
        </w:rPr>
      </w:pPr>
      <w:r w:rsidRPr="00F75FBF">
        <w:rPr>
          <w:rFonts w:ascii="宋体" w:hAnsi="宋体" w:cs="宋体" w:hint="eastAsia"/>
          <w:kern w:val="0"/>
          <w:sz w:val="21"/>
          <w:szCs w:val="21"/>
        </w:rPr>
        <w:t>开题报告通过后，研究生才能正式开始撰写论文。</w:t>
      </w:r>
    </w:p>
    <w:p w:rsidR="00E247AA" w:rsidRPr="00F75FBF" w:rsidRDefault="00E247AA" w:rsidP="00F75FBF">
      <w:pPr>
        <w:widowControl/>
        <w:tabs>
          <w:tab w:val="left" w:pos="1080"/>
        </w:tabs>
        <w:snapToGrid w:val="0"/>
        <w:spacing w:before="240" w:after="240"/>
        <w:ind w:firstLineChars="200" w:firstLine="420"/>
        <w:rPr>
          <w:rFonts w:ascii="宋体" w:hAnsi="宋体" w:cs="宋体"/>
          <w:kern w:val="0"/>
          <w:sz w:val="21"/>
          <w:szCs w:val="21"/>
        </w:rPr>
      </w:pPr>
      <w:r w:rsidRPr="00F75FBF">
        <w:rPr>
          <w:rFonts w:ascii="宋体" w:hAnsi="宋体" w:cs="宋体" w:hint="eastAsia"/>
          <w:kern w:val="0"/>
          <w:sz w:val="21"/>
          <w:szCs w:val="21"/>
        </w:rPr>
        <w:t>2. 中期论文进展报告</w:t>
      </w:r>
    </w:p>
    <w:p w:rsidR="00E247AA" w:rsidRPr="00F75FBF" w:rsidRDefault="00E247AA" w:rsidP="00646FC2">
      <w:pPr>
        <w:widowControl/>
        <w:numPr>
          <w:ilvl w:val="0"/>
          <w:numId w:val="1"/>
        </w:numPr>
        <w:tabs>
          <w:tab w:val="left" w:pos="1080"/>
        </w:tabs>
        <w:snapToGrid w:val="0"/>
        <w:rPr>
          <w:rFonts w:ascii="宋体" w:hAnsi="宋体" w:cs="宋体"/>
          <w:kern w:val="0"/>
          <w:sz w:val="21"/>
          <w:szCs w:val="21"/>
        </w:rPr>
      </w:pPr>
      <w:r w:rsidRPr="00F75FBF">
        <w:rPr>
          <w:rFonts w:ascii="宋体" w:hAnsi="宋体" w:cs="宋体" w:hint="eastAsia"/>
          <w:kern w:val="0"/>
          <w:sz w:val="21"/>
          <w:szCs w:val="21"/>
        </w:rPr>
        <w:t>二年级下学期期初写出论文初稿；</w:t>
      </w:r>
    </w:p>
    <w:p w:rsidR="00E247AA" w:rsidRPr="00F75FBF" w:rsidRDefault="00E247AA" w:rsidP="00646FC2">
      <w:pPr>
        <w:widowControl/>
        <w:numPr>
          <w:ilvl w:val="0"/>
          <w:numId w:val="1"/>
        </w:numPr>
        <w:tabs>
          <w:tab w:val="left" w:pos="1080"/>
        </w:tabs>
        <w:snapToGrid w:val="0"/>
        <w:rPr>
          <w:rFonts w:ascii="宋体" w:hAnsi="宋体" w:cs="宋体"/>
          <w:kern w:val="0"/>
          <w:sz w:val="21"/>
          <w:szCs w:val="21"/>
        </w:rPr>
      </w:pPr>
      <w:r w:rsidRPr="00F75FBF">
        <w:rPr>
          <w:rFonts w:ascii="宋体" w:hAnsi="宋体" w:cs="宋体" w:hint="eastAsia"/>
          <w:kern w:val="0"/>
          <w:sz w:val="21"/>
          <w:szCs w:val="21"/>
        </w:rPr>
        <w:t>向研究生指导小组就论文的进展情况作一次中期报告。</w:t>
      </w:r>
    </w:p>
    <w:p w:rsidR="001826C5" w:rsidRPr="00F75FBF" w:rsidRDefault="001826C5" w:rsidP="001826C5">
      <w:pPr>
        <w:widowControl/>
        <w:tabs>
          <w:tab w:val="left" w:pos="1080"/>
        </w:tabs>
        <w:snapToGrid w:val="0"/>
        <w:spacing w:before="240" w:after="240"/>
        <w:ind w:firstLineChars="200" w:firstLine="420"/>
        <w:rPr>
          <w:rFonts w:ascii="宋体" w:hAnsi="宋体" w:cs="宋体"/>
          <w:kern w:val="0"/>
          <w:sz w:val="21"/>
          <w:szCs w:val="21"/>
        </w:rPr>
      </w:pPr>
      <w:r w:rsidRPr="00F75FBF">
        <w:rPr>
          <w:rFonts w:ascii="宋体" w:hAnsi="宋体" w:cs="宋体" w:hint="eastAsia"/>
          <w:kern w:val="0"/>
          <w:sz w:val="21"/>
          <w:szCs w:val="21"/>
        </w:rPr>
        <w:t>3. 论文</w:t>
      </w:r>
      <w:r>
        <w:rPr>
          <w:rFonts w:ascii="宋体" w:hAnsi="宋体" w:cs="宋体" w:hint="eastAsia"/>
          <w:kern w:val="0"/>
          <w:sz w:val="21"/>
          <w:szCs w:val="21"/>
        </w:rPr>
        <w:t>预</w:t>
      </w:r>
      <w:r w:rsidRPr="00F75FBF">
        <w:rPr>
          <w:rFonts w:ascii="宋体" w:hAnsi="宋体" w:cs="宋体" w:hint="eastAsia"/>
          <w:kern w:val="0"/>
          <w:sz w:val="21"/>
          <w:szCs w:val="21"/>
        </w:rPr>
        <w:t>答辩</w:t>
      </w:r>
    </w:p>
    <w:p w:rsidR="001826C5" w:rsidRPr="00F75FBF" w:rsidRDefault="001826C5"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二年级下学期论文定稿后进行</w:t>
      </w:r>
      <w:r>
        <w:rPr>
          <w:rFonts w:ascii="宋体" w:hAnsi="宋体" w:cs="宋体" w:hint="eastAsia"/>
          <w:kern w:val="0"/>
          <w:sz w:val="21"/>
          <w:szCs w:val="21"/>
        </w:rPr>
        <w:t>预</w:t>
      </w:r>
      <w:r w:rsidRPr="00F75FBF">
        <w:rPr>
          <w:rFonts w:ascii="宋体" w:hAnsi="宋体" w:cs="宋体" w:hint="eastAsia"/>
          <w:kern w:val="0"/>
          <w:sz w:val="21"/>
          <w:szCs w:val="21"/>
        </w:rPr>
        <w:t>答辩；</w:t>
      </w:r>
    </w:p>
    <w:p w:rsidR="001826C5" w:rsidRPr="00F75FBF" w:rsidRDefault="001826C5"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未经导师审阅通过的论文，不得</w:t>
      </w:r>
      <w:r>
        <w:rPr>
          <w:rFonts w:ascii="宋体" w:hAnsi="宋体" w:cs="宋体" w:hint="eastAsia"/>
          <w:kern w:val="0"/>
          <w:sz w:val="21"/>
          <w:szCs w:val="21"/>
        </w:rPr>
        <w:t>进行预</w:t>
      </w:r>
      <w:r w:rsidRPr="00F75FBF">
        <w:rPr>
          <w:rFonts w:ascii="宋体" w:hAnsi="宋体" w:cs="宋体" w:hint="eastAsia"/>
          <w:kern w:val="0"/>
          <w:sz w:val="21"/>
          <w:szCs w:val="21"/>
        </w:rPr>
        <w:t>答辩；</w:t>
      </w:r>
    </w:p>
    <w:p w:rsidR="001826C5" w:rsidRPr="001826C5" w:rsidRDefault="001826C5" w:rsidP="00646FC2">
      <w:pPr>
        <w:pStyle w:val="a6"/>
        <w:widowControl/>
        <w:numPr>
          <w:ilvl w:val="0"/>
          <w:numId w:val="1"/>
        </w:numPr>
        <w:tabs>
          <w:tab w:val="left" w:pos="1080"/>
        </w:tabs>
        <w:snapToGrid w:val="0"/>
        <w:ind w:left="1259" w:firstLineChars="0"/>
        <w:rPr>
          <w:rFonts w:ascii="宋体" w:hAnsi="宋体" w:cs="宋体"/>
          <w:kern w:val="0"/>
          <w:sz w:val="21"/>
          <w:szCs w:val="21"/>
        </w:rPr>
      </w:pPr>
      <w:r w:rsidRPr="001826C5">
        <w:rPr>
          <w:rFonts w:ascii="宋体" w:hAnsi="宋体" w:cs="宋体" w:hint="eastAsia"/>
          <w:kern w:val="0"/>
          <w:sz w:val="21"/>
          <w:szCs w:val="21"/>
        </w:rPr>
        <w:t>答辩委员会应由3-5位（其中至少一位来自校外实践单位）与本领域相关的专家组成。</w:t>
      </w:r>
    </w:p>
    <w:p w:rsidR="004802D3" w:rsidRDefault="004802D3">
      <w:pPr>
        <w:widowControl/>
        <w:jc w:val="left"/>
        <w:rPr>
          <w:rFonts w:ascii="宋体" w:hAnsi="宋体" w:cs="宋体"/>
          <w:kern w:val="0"/>
          <w:sz w:val="21"/>
          <w:szCs w:val="21"/>
        </w:rPr>
      </w:pPr>
      <w:r>
        <w:rPr>
          <w:rFonts w:ascii="宋体" w:hAnsi="宋体" w:cs="宋体"/>
          <w:kern w:val="0"/>
          <w:sz w:val="21"/>
          <w:szCs w:val="21"/>
        </w:rPr>
        <w:br w:type="page"/>
      </w:r>
    </w:p>
    <w:p w:rsidR="00E247AA" w:rsidRPr="00F75FBF" w:rsidRDefault="001826C5" w:rsidP="00F75FBF">
      <w:pPr>
        <w:widowControl/>
        <w:tabs>
          <w:tab w:val="left" w:pos="1080"/>
        </w:tabs>
        <w:snapToGrid w:val="0"/>
        <w:spacing w:before="240" w:after="240"/>
        <w:ind w:firstLineChars="200" w:firstLine="420"/>
        <w:rPr>
          <w:rFonts w:ascii="宋体" w:hAnsi="宋体" w:cs="宋体"/>
          <w:kern w:val="0"/>
          <w:sz w:val="21"/>
          <w:szCs w:val="21"/>
        </w:rPr>
      </w:pPr>
      <w:r>
        <w:rPr>
          <w:rFonts w:ascii="宋体" w:hAnsi="宋体" w:cs="宋体" w:hint="eastAsia"/>
          <w:kern w:val="0"/>
          <w:sz w:val="21"/>
          <w:szCs w:val="21"/>
        </w:rPr>
        <w:lastRenderedPageBreak/>
        <w:t>4</w:t>
      </w:r>
      <w:r w:rsidR="00E247AA" w:rsidRPr="00F75FBF">
        <w:rPr>
          <w:rFonts w:ascii="宋体" w:hAnsi="宋体" w:cs="宋体" w:hint="eastAsia"/>
          <w:kern w:val="0"/>
          <w:sz w:val="21"/>
          <w:szCs w:val="21"/>
        </w:rPr>
        <w:t>. 论文答辩</w:t>
      </w:r>
    </w:p>
    <w:p w:rsidR="00E247AA" w:rsidRPr="00F75FBF" w:rsidRDefault="00E247AA"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二年级下学期论文定稿后进行答辩；</w:t>
      </w:r>
    </w:p>
    <w:p w:rsidR="00E247AA" w:rsidRPr="00F75FBF" w:rsidRDefault="00E247AA"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未经导师审阅通过的论文，不得提交答辩；</w:t>
      </w:r>
    </w:p>
    <w:p w:rsidR="00E247AA" w:rsidRPr="00F75FBF" w:rsidRDefault="00E247AA" w:rsidP="00646FC2">
      <w:pPr>
        <w:widowControl/>
        <w:numPr>
          <w:ilvl w:val="0"/>
          <w:numId w:val="1"/>
        </w:numPr>
        <w:tabs>
          <w:tab w:val="left" w:pos="1080"/>
        </w:tabs>
        <w:snapToGrid w:val="0"/>
        <w:ind w:left="1259"/>
        <w:rPr>
          <w:rFonts w:ascii="宋体" w:hAnsi="宋体" w:cs="宋体"/>
          <w:kern w:val="0"/>
          <w:sz w:val="21"/>
          <w:szCs w:val="21"/>
        </w:rPr>
      </w:pPr>
      <w:r w:rsidRPr="00F75FBF">
        <w:rPr>
          <w:rFonts w:ascii="宋体" w:hAnsi="宋体" w:cs="宋体" w:hint="eastAsia"/>
          <w:kern w:val="0"/>
          <w:sz w:val="21"/>
          <w:szCs w:val="21"/>
        </w:rPr>
        <w:t>答辩委员会应由3-5位（其中至少一位来自校外实践单位）与本领域相关的专家组成。</w:t>
      </w:r>
    </w:p>
    <w:p w:rsidR="00A81038" w:rsidRPr="00F75FBF" w:rsidRDefault="00A81038" w:rsidP="00F75FBF">
      <w:pPr>
        <w:tabs>
          <w:tab w:val="left" w:pos="5385"/>
        </w:tabs>
        <w:spacing w:before="240" w:after="240"/>
        <w:jc w:val="left"/>
        <w:rPr>
          <w:rFonts w:ascii="宋体" w:hAnsi="宋体" w:cs="宋体"/>
          <w:kern w:val="0"/>
          <w:sz w:val="21"/>
          <w:szCs w:val="21"/>
        </w:rPr>
      </w:pPr>
      <w:r w:rsidRPr="00F75FBF">
        <w:rPr>
          <w:rFonts w:ascii="宋体" w:hAnsi="宋体" w:cs="宋体" w:hint="eastAsia"/>
          <w:kern w:val="0"/>
          <w:sz w:val="21"/>
          <w:szCs w:val="21"/>
        </w:rPr>
        <w:t>（三） 学术活动</w:t>
      </w:r>
    </w:p>
    <w:p w:rsidR="00D1354D" w:rsidRDefault="00A81038" w:rsidP="00755516">
      <w:pPr>
        <w:tabs>
          <w:tab w:val="left" w:pos="4545"/>
        </w:tabs>
        <w:spacing w:before="240" w:after="240"/>
        <w:ind w:firstLineChars="200" w:firstLine="420"/>
        <w:jc w:val="left"/>
        <w:rPr>
          <w:rFonts w:ascii="宋体" w:hAnsi="宋体" w:cs="宋体"/>
          <w:kern w:val="0"/>
          <w:sz w:val="21"/>
          <w:szCs w:val="21"/>
        </w:rPr>
      </w:pPr>
      <w:r w:rsidRPr="00F75FBF">
        <w:rPr>
          <w:rFonts w:ascii="宋体" w:hAnsi="宋体" w:cs="宋体" w:hint="eastAsia"/>
          <w:kern w:val="0"/>
          <w:sz w:val="21"/>
          <w:szCs w:val="21"/>
        </w:rPr>
        <w:t>研究生在学期间须参加各类学术活动。金融硕士专业学位要求参加前沿专题讲座不少于8次。</w:t>
      </w:r>
    </w:p>
    <w:p w:rsidR="00E247AA" w:rsidRPr="00F75FBF" w:rsidRDefault="00F85586" w:rsidP="00755516">
      <w:pPr>
        <w:tabs>
          <w:tab w:val="left" w:pos="4545"/>
        </w:tabs>
        <w:spacing w:before="240" w:after="240"/>
        <w:jc w:val="left"/>
        <w:rPr>
          <w:rFonts w:ascii="宋体" w:hAnsi="宋体" w:cs="Times New Roman"/>
          <w:b/>
          <w:bCs/>
          <w:color w:val="000000"/>
          <w:sz w:val="28"/>
          <w:szCs w:val="28"/>
        </w:rPr>
      </w:pPr>
      <w:r w:rsidRPr="00F75FBF">
        <w:rPr>
          <w:rFonts w:ascii="宋体" w:hAnsi="宋体" w:cs="Times New Roman" w:hint="eastAsia"/>
          <w:b/>
          <w:bCs/>
          <w:color w:val="000000"/>
          <w:sz w:val="28"/>
          <w:szCs w:val="28"/>
        </w:rPr>
        <w:t>七</w:t>
      </w:r>
      <w:r w:rsidR="00E247AA" w:rsidRPr="00F75FBF">
        <w:rPr>
          <w:rFonts w:ascii="宋体" w:hAnsi="宋体" w:cs="Times New Roman"/>
          <w:b/>
          <w:bCs/>
          <w:color w:val="000000"/>
          <w:sz w:val="28"/>
          <w:szCs w:val="28"/>
        </w:rPr>
        <w:t>、</w:t>
      </w:r>
      <w:r w:rsidR="001D7867">
        <w:rPr>
          <w:rFonts w:ascii="宋体" w:hAnsi="宋体" w:cs="Times New Roman" w:hint="eastAsia"/>
          <w:b/>
          <w:bCs/>
          <w:color w:val="000000"/>
          <w:sz w:val="28"/>
          <w:szCs w:val="28"/>
        </w:rPr>
        <w:t>附表及</w:t>
      </w:r>
      <w:r w:rsidR="00E247AA" w:rsidRPr="00F75FBF">
        <w:rPr>
          <w:rFonts w:ascii="宋体" w:hAnsi="宋体" w:cs="Times New Roman" w:hint="eastAsia"/>
          <w:b/>
          <w:bCs/>
          <w:color w:val="000000"/>
          <w:sz w:val="28"/>
          <w:szCs w:val="28"/>
        </w:rPr>
        <w:t>其它说明</w:t>
      </w:r>
    </w:p>
    <w:p w:rsidR="00E247AA" w:rsidRPr="00F75FBF" w:rsidRDefault="00E247AA" w:rsidP="00F75FBF">
      <w:pPr>
        <w:spacing w:before="240" w:after="240"/>
        <w:ind w:firstLineChars="200" w:firstLine="420"/>
        <w:jc w:val="left"/>
        <w:rPr>
          <w:rFonts w:ascii="宋体" w:hAnsi="宋体" w:cs="Times New Roman"/>
          <w:color w:val="000000"/>
          <w:sz w:val="21"/>
          <w:szCs w:val="21"/>
        </w:rPr>
      </w:pPr>
      <w:r w:rsidRPr="00F75FBF">
        <w:rPr>
          <w:rFonts w:ascii="宋体" w:hAnsi="宋体" w:cs="Times New Roman" w:hint="eastAsia"/>
          <w:color w:val="000000"/>
          <w:sz w:val="21"/>
          <w:szCs w:val="21"/>
        </w:rPr>
        <w:t>1. 本培养方案是根据金融专业学位研究生教育指导委员会的指导性培养方案适当修改制定。</w:t>
      </w:r>
    </w:p>
    <w:p w:rsidR="00755516" w:rsidRPr="00755516" w:rsidRDefault="00755516" w:rsidP="00755516">
      <w:pPr>
        <w:tabs>
          <w:tab w:val="left" w:pos="5385"/>
        </w:tabs>
        <w:spacing w:before="240" w:after="240"/>
        <w:ind w:firstLineChars="200" w:firstLine="420"/>
        <w:jc w:val="left"/>
        <w:rPr>
          <w:rFonts w:ascii="宋体" w:hAnsi="宋体"/>
          <w:bCs/>
          <w:sz w:val="21"/>
          <w:szCs w:val="21"/>
        </w:rPr>
      </w:pPr>
      <w:r>
        <w:rPr>
          <w:rFonts w:ascii="宋体" w:hAnsi="宋体" w:cs="Times New Roman" w:hint="eastAsia"/>
          <w:color w:val="000000"/>
          <w:sz w:val="21"/>
          <w:szCs w:val="21"/>
        </w:rPr>
        <w:t>2.</w:t>
      </w:r>
      <w:r w:rsidR="009856E3" w:rsidRPr="00F75FBF">
        <w:rPr>
          <w:rFonts w:ascii="宋体" w:hAnsi="宋体" w:cs="Times New Roman" w:hint="eastAsia"/>
          <w:sz w:val="21"/>
          <w:szCs w:val="21"/>
        </w:rPr>
        <w:t xml:space="preserve"> </w:t>
      </w:r>
      <w:r w:rsidR="009856E3" w:rsidRPr="00F75FBF">
        <w:rPr>
          <w:rFonts w:ascii="宋体" w:hAnsi="宋体" w:hint="eastAsia"/>
          <w:bCs/>
          <w:sz w:val="21"/>
          <w:szCs w:val="21"/>
        </w:rPr>
        <w:t>金融硕士（MF）毕业生能力目标要求附表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7063"/>
      </w:tblGrid>
      <w:tr w:rsidR="009856E3" w:rsidRPr="00F75FBF" w:rsidTr="00755516">
        <w:trPr>
          <w:trHeight w:val="20"/>
        </w:trPr>
        <w:tc>
          <w:tcPr>
            <w:tcW w:w="1868" w:type="dxa"/>
            <w:vMerge w:val="restart"/>
            <w:vAlign w:val="center"/>
          </w:tcPr>
          <w:p w:rsidR="009856E3" w:rsidRPr="00F75FBF" w:rsidRDefault="009856E3" w:rsidP="00646FC2">
            <w:pPr>
              <w:numPr>
                <w:ilvl w:val="0"/>
                <w:numId w:val="2"/>
              </w:numPr>
              <w:spacing w:line="276" w:lineRule="auto"/>
              <w:jc w:val="left"/>
              <w:rPr>
                <w:rFonts w:ascii="宋体" w:hAnsi="宋体" w:cs="Times New Roman"/>
                <w:sz w:val="18"/>
                <w:szCs w:val="18"/>
              </w:rPr>
            </w:pPr>
            <w:r w:rsidRPr="00F75FBF">
              <w:rPr>
                <w:rFonts w:ascii="宋体" w:hAnsi="宋体" w:cs="Times New Roman" w:hint="eastAsia"/>
                <w:sz w:val="18"/>
                <w:szCs w:val="18"/>
              </w:rPr>
              <w:t>专业知识</w:t>
            </w: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1.1 掌握金融专业必备的基本理论和基础知识</w:t>
            </w:r>
          </w:p>
        </w:tc>
      </w:tr>
      <w:tr w:rsidR="009856E3" w:rsidRPr="00F75FBF" w:rsidTr="00755516">
        <w:trPr>
          <w:trHeight w:val="20"/>
        </w:trPr>
        <w:tc>
          <w:tcPr>
            <w:tcW w:w="1868" w:type="dxa"/>
            <w:vMerge/>
            <w:vAlign w:val="center"/>
          </w:tcPr>
          <w:p w:rsidR="009856E3" w:rsidRPr="00F75FBF" w:rsidRDefault="009856E3" w:rsidP="00646FC2">
            <w:pPr>
              <w:spacing w:line="276" w:lineRule="auto"/>
              <w:ind w:left="360"/>
              <w:jc w:val="left"/>
              <w:rPr>
                <w:rFonts w:ascii="宋体" w:hAnsi="宋体" w:cs="Times New Roman"/>
                <w:sz w:val="18"/>
                <w:szCs w:val="18"/>
              </w:rPr>
            </w:pP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1.2掌握解决复杂金融问题所需的方法与工具, 能够从事金融机构管理、金融产品开发与设计、金融市场分析、企业投融资的相关工作</w:t>
            </w:r>
          </w:p>
        </w:tc>
      </w:tr>
      <w:tr w:rsidR="009856E3" w:rsidRPr="00F75FBF" w:rsidTr="00755516">
        <w:trPr>
          <w:trHeight w:val="20"/>
        </w:trPr>
        <w:tc>
          <w:tcPr>
            <w:tcW w:w="1868" w:type="dxa"/>
            <w:vMerge w:val="restart"/>
            <w:vAlign w:val="center"/>
          </w:tcPr>
          <w:p w:rsidR="009856E3" w:rsidRPr="00F75FBF" w:rsidRDefault="009856E3" w:rsidP="00646FC2">
            <w:pPr>
              <w:numPr>
                <w:ilvl w:val="0"/>
                <w:numId w:val="2"/>
              </w:numPr>
              <w:spacing w:line="276" w:lineRule="auto"/>
              <w:jc w:val="left"/>
              <w:rPr>
                <w:rFonts w:ascii="宋体" w:hAnsi="宋体" w:cs="Times New Roman"/>
                <w:sz w:val="18"/>
                <w:szCs w:val="18"/>
              </w:rPr>
            </w:pPr>
            <w:r w:rsidRPr="00F75FBF">
              <w:rPr>
                <w:rFonts w:ascii="宋体" w:hAnsi="宋体" w:cs="Times New Roman" w:hint="eastAsia"/>
                <w:sz w:val="18"/>
                <w:szCs w:val="18"/>
              </w:rPr>
              <w:t>问题分析/设计解决方案</w:t>
            </w: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2.1 能够运用经济与金融的原理与方法，针对特定的金融问题，运用实证、案例、演绎、实验等方法开展研究/设计，通过定性或定量分析得到合理结论、制定解决方案，并在方案设计中能够体现创新性意识</w:t>
            </w:r>
          </w:p>
        </w:tc>
      </w:tr>
      <w:tr w:rsidR="009856E3" w:rsidRPr="00F75FBF" w:rsidTr="00755516">
        <w:trPr>
          <w:trHeight w:val="20"/>
        </w:trPr>
        <w:tc>
          <w:tcPr>
            <w:tcW w:w="1868" w:type="dxa"/>
            <w:vMerge/>
            <w:vAlign w:val="center"/>
          </w:tcPr>
          <w:p w:rsidR="009856E3" w:rsidRPr="00F75FBF" w:rsidRDefault="009856E3" w:rsidP="00646FC2">
            <w:pPr>
              <w:spacing w:line="276" w:lineRule="auto"/>
              <w:jc w:val="left"/>
              <w:rPr>
                <w:rFonts w:ascii="宋体" w:hAnsi="宋体"/>
                <w:sz w:val="18"/>
                <w:szCs w:val="18"/>
              </w:rPr>
            </w:pP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2.2 能够在设计制定金融解决方案和进行方案的可行性分析中，综合考虑政治、经济、技术、社会及环境因素</w:t>
            </w:r>
          </w:p>
        </w:tc>
      </w:tr>
      <w:tr w:rsidR="009856E3" w:rsidRPr="00F75FBF" w:rsidTr="00755516">
        <w:trPr>
          <w:trHeight w:val="20"/>
        </w:trPr>
        <w:tc>
          <w:tcPr>
            <w:tcW w:w="1868" w:type="dxa"/>
            <w:vMerge w:val="restart"/>
            <w:vAlign w:val="center"/>
          </w:tcPr>
          <w:p w:rsidR="009856E3" w:rsidRPr="00F75FBF" w:rsidRDefault="009856E3" w:rsidP="00646FC2">
            <w:pPr>
              <w:numPr>
                <w:ilvl w:val="0"/>
                <w:numId w:val="2"/>
              </w:numPr>
              <w:spacing w:line="276" w:lineRule="auto"/>
              <w:jc w:val="left"/>
              <w:rPr>
                <w:rFonts w:ascii="宋体" w:hAnsi="宋体" w:cs="Times New Roman"/>
                <w:sz w:val="18"/>
                <w:szCs w:val="18"/>
              </w:rPr>
            </w:pPr>
            <w:r w:rsidRPr="00F75FBF">
              <w:rPr>
                <w:rFonts w:ascii="宋体" w:hAnsi="宋体" w:cs="Times New Roman" w:hint="eastAsia"/>
                <w:sz w:val="18"/>
                <w:szCs w:val="18"/>
              </w:rPr>
              <w:t>职业规范</w:t>
            </w: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3.1具备正确的人生观、价值观，具有健康的体魄、健康的心理和人文社会科学素养</w:t>
            </w:r>
          </w:p>
        </w:tc>
      </w:tr>
      <w:tr w:rsidR="009856E3" w:rsidRPr="00F75FBF" w:rsidTr="00755516">
        <w:trPr>
          <w:trHeight w:val="20"/>
        </w:trPr>
        <w:tc>
          <w:tcPr>
            <w:tcW w:w="1868" w:type="dxa"/>
            <w:vMerge/>
            <w:vAlign w:val="center"/>
          </w:tcPr>
          <w:p w:rsidR="009856E3" w:rsidRPr="00F75FBF" w:rsidRDefault="009856E3" w:rsidP="00646FC2">
            <w:pPr>
              <w:spacing w:line="276" w:lineRule="auto"/>
              <w:jc w:val="left"/>
              <w:rPr>
                <w:rFonts w:ascii="宋体" w:hAnsi="宋体"/>
                <w:sz w:val="18"/>
                <w:szCs w:val="18"/>
              </w:rPr>
            </w:pP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3.2 在经济管理实践中理解并自觉遵守职业规范，能够认真履行职责，具有社会责任感</w:t>
            </w:r>
          </w:p>
        </w:tc>
      </w:tr>
      <w:tr w:rsidR="009856E3" w:rsidRPr="00F75FBF" w:rsidTr="00755516">
        <w:trPr>
          <w:trHeight w:val="20"/>
        </w:trPr>
        <w:tc>
          <w:tcPr>
            <w:tcW w:w="1868" w:type="dxa"/>
            <w:vMerge w:val="restart"/>
            <w:vAlign w:val="center"/>
          </w:tcPr>
          <w:p w:rsidR="009856E3" w:rsidRPr="00F75FBF" w:rsidRDefault="009856E3" w:rsidP="00646FC2">
            <w:pPr>
              <w:numPr>
                <w:ilvl w:val="0"/>
                <w:numId w:val="2"/>
              </w:numPr>
              <w:spacing w:line="276" w:lineRule="auto"/>
              <w:jc w:val="left"/>
              <w:rPr>
                <w:rFonts w:ascii="宋体" w:hAnsi="宋体" w:cs="Times New Roman"/>
                <w:sz w:val="18"/>
                <w:szCs w:val="18"/>
              </w:rPr>
            </w:pPr>
            <w:r w:rsidRPr="00F75FBF">
              <w:rPr>
                <w:rFonts w:ascii="宋体" w:hAnsi="宋体" w:cs="Times New Roman" w:hint="eastAsia"/>
                <w:sz w:val="18"/>
                <w:szCs w:val="18"/>
              </w:rPr>
              <w:t>团队与沟通</w:t>
            </w: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4.1 有良好的团队合作意识和协作精神，能够在多学科或跨文化背景中，起到团队协作的作用</w:t>
            </w:r>
          </w:p>
        </w:tc>
      </w:tr>
      <w:tr w:rsidR="009856E3" w:rsidRPr="00F75FBF" w:rsidTr="00755516">
        <w:trPr>
          <w:trHeight w:val="20"/>
        </w:trPr>
        <w:tc>
          <w:tcPr>
            <w:tcW w:w="1868" w:type="dxa"/>
            <w:vMerge/>
            <w:vAlign w:val="center"/>
          </w:tcPr>
          <w:p w:rsidR="009856E3" w:rsidRPr="00F75FBF" w:rsidRDefault="009856E3" w:rsidP="00646FC2">
            <w:pPr>
              <w:spacing w:line="276" w:lineRule="auto"/>
              <w:jc w:val="left"/>
              <w:rPr>
                <w:rFonts w:ascii="宋体" w:hAnsi="宋体"/>
                <w:sz w:val="18"/>
                <w:szCs w:val="18"/>
              </w:rPr>
            </w:pP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4.2 能够就复杂经济管理问题进行有效的书面和口头表述，能与业界同行或跨文化背景下进行有效沟通</w:t>
            </w:r>
          </w:p>
        </w:tc>
      </w:tr>
      <w:tr w:rsidR="009856E3" w:rsidRPr="00F75FBF" w:rsidTr="00755516">
        <w:trPr>
          <w:trHeight w:val="20"/>
        </w:trPr>
        <w:tc>
          <w:tcPr>
            <w:tcW w:w="1868" w:type="dxa"/>
            <w:vMerge w:val="restart"/>
            <w:vAlign w:val="center"/>
          </w:tcPr>
          <w:p w:rsidR="009856E3" w:rsidRPr="00F75FBF" w:rsidRDefault="009856E3" w:rsidP="00646FC2">
            <w:pPr>
              <w:numPr>
                <w:ilvl w:val="0"/>
                <w:numId w:val="2"/>
              </w:numPr>
              <w:spacing w:line="276" w:lineRule="auto"/>
              <w:jc w:val="left"/>
              <w:rPr>
                <w:rFonts w:ascii="宋体" w:hAnsi="宋体" w:cs="Times New Roman"/>
                <w:sz w:val="18"/>
                <w:szCs w:val="18"/>
              </w:rPr>
            </w:pPr>
            <w:r w:rsidRPr="00F75FBF">
              <w:rPr>
                <w:rFonts w:ascii="宋体" w:hAnsi="宋体" w:cs="Times New Roman" w:hint="eastAsia"/>
                <w:sz w:val="18"/>
                <w:szCs w:val="18"/>
              </w:rPr>
              <w:t>终身学习</w:t>
            </w: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5.1 具有自主学习和终身学习的意识</w:t>
            </w:r>
          </w:p>
        </w:tc>
      </w:tr>
      <w:tr w:rsidR="009856E3" w:rsidRPr="00F75FBF" w:rsidTr="00755516">
        <w:trPr>
          <w:trHeight w:val="20"/>
        </w:trPr>
        <w:tc>
          <w:tcPr>
            <w:tcW w:w="1868" w:type="dxa"/>
            <w:vMerge/>
            <w:vAlign w:val="center"/>
          </w:tcPr>
          <w:p w:rsidR="009856E3" w:rsidRPr="00F75FBF" w:rsidRDefault="009856E3" w:rsidP="00646FC2">
            <w:pPr>
              <w:spacing w:line="276" w:lineRule="auto"/>
              <w:jc w:val="center"/>
              <w:rPr>
                <w:rFonts w:ascii="宋体" w:hAnsi="宋体"/>
                <w:sz w:val="18"/>
                <w:szCs w:val="18"/>
              </w:rPr>
            </w:pPr>
          </w:p>
        </w:tc>
        <w:tc>
          <w:tcPr>
            <w:tcW w:w="7063" w:type="dxa"/>
            <w:vAlign w:val="center"/>
          </w:tcPr>
          <w:p w:rsidR="009856E3" w:rsidRPr="00F75FBF" w:rsidRDefault="009856E3" w:rsidP="00646FC2">
            <w:pPr>
              <w:spacing w:line="276" w:lineRule="auto"/>
              <w:jc w:val="left"/>
              <w:rPr>
                <w:rFonts w:ascii="宋体" w:hAnsi="宋体"/>
                <w:sz w:val="18"/>
                <w:szCs w:val="18"/>
              </w:rPr>
            </w:pPr>
            <w:r w:rsidRPr="00F75FBF">
              <w:rPr>
                <w:rFonts w:ascii="宋体" w:hAnsi="宋体" w:cs="Times New Roman" w:hint="eastAsia"/>
                <w:sz w:val="18"/>
                <w:szCs w:val="18"/>
              </w:rPr>
              <w:t>5.2 能够利用所学知识与技术方法，提高自主学习能力，掌握前沿动态，适应经济管理及社会发展需要</w:t>
            </w:r>
          </w:p>
        </w:tc>
      </w:tr>
    </w:tbl>
    <w:p w:rsidR="00A47672" w:rsidRPr="00755516" w:rsidRDefault="00A47672" w:rsidP="00A47672">
      <w:pPr>
        <w:spacing w:before="240" w:after="240"/>
        <w:ind w:firstLineChars="200" w:firstLine="420"/>
        <w:jc w:val="left"/>
        <w:rPr>
          <w:rFonts w:ascii="宋体" w:hAnsi="宋体" w:cs="Times New Roman"/>
          <w:color w:val="000000"/>
          <w:sz w:val="21"/>
          <w:szCs w:val="21"/>
        </w:rPr>
      </w:pPr>
      <w:r>
        <w:rPr>
          <w:rFonts w:ascii="宋体" w:hAnsi="宋体" w:cs="Times New Roman" w:hint="eastAsia"/>
          <w:color w:val="000000"/>
          <w:sz w:val="21"/>
          <w:szCs w:val="21"/>
        </w:rPr>
        <w:t>3</w:t>
      </w:r>
      <w:r w:rsidRPr="00755516">
        <w:rPr>
          <w:rFonts w:ascii="宋体" w:hAnsi="宋体" w:cs="Times New Roman" w:hint="eastAsia"/>
          <w:color w:val="000000"/>
          <w:sz w:val="21"/>
          <w:szCs w:val="21"/>
        </w:rPr>
        <w:t>. 每学期的研究生课程学分不超过20学分；若有补修课程，每学期的修课总学分不超过23学分；</w:t>
      </w:r>
    </w:p>
    <w:p w:rsidR="004802D3" w:rsidRDefault="004802D3">
      <w:pPr>
        <w:widowControl/>
        <w:jc w:val="left"/>
        <w:rPr>
          <w:rFonts w:ascii="宋体" w:hAnsi="宋体" w:cs="Times New Roman"/>
          <w:color w:val="000000"/>
          <w:sz w:val="21"/>
          <w:szCs w:val="21"/>
        </w:rPr>
      </w:pPr>
      <w:r>
        <w:rPr>
          <w:rFonts w:ascii="宋体" w:hAnsi="宋体" w:cs="Times New Roman"/>
          <w:color w:val="000000"/>
          <w:sz w:val="21"/>
          <w:szCs w:val="21"/>
        </w:rPr>
        <w:br w:type="page"/>
      </w:r>
    </w:p>
    <w:p w:rsidR="00A81038" w:rsidRPr="00755516" w:rsidRDefault="00A47672" w:rsidP="00755516">
      <w:pPr>
        <w:tabs>
          <w:tab w:val="left" w:pos="5385"/>
        </w:tabs>
        <w:spacing w:before="240" w:after="240"/>
        <w:ind w:firstLineChars="200" w:firstLine="420"/>
        <w:jc w:val="left"/>
        <w:rPr>
          <w:rFonts w:ascii="宋体" w:hAnsi="宋体" w:cs="Times New Roman"/>
          <w:sz w:val="21"/>
          <w:szCs w:val="21"/>
        </w:rPr>
      </w:pPr>
      <w:r>
        <w:rPr>
          <w:rFonts w:ascii="宋体" w:hAnsi="宋体" w:cs="Times New Roman" w:hint="eastAsia"/>
          <w:color w:val="000000"/>
          <w:sz w:val="21"/>
          <w:szCs w:val="21"/>
        </w:rPr>
        <w:lastRenderedPageBreak/>
        <w:t>4</w:t>
      </w:r>
      <w:r w:rsidR="00A81038" w:rsidRPr="00F75FBF">
        <w:rPr>
          <w:rFonts w:ascii="宋体" w:hAnsi="宋体" w:cs="Times New Roman" w:hint="eastAsia"/>
          <w:color w:val="000000"/>
          <w:sz w:val="21"/>
          <w:szCs w:val="21"/>
        </w:rPr>
        <w:t>.</w:t>
      </w:r>
      <w:r w:rsidR="00A81038" w:rsidRPr="00F75FBF">
        <w:rPr>
          <w:rFonts w:ascii="宋体" w:hAnsi="宋体" w:cs="Times New Roman" w:hint="eastAsia"/>
          <w:sz w:val="21"/>
          <w:szCs w:val="21"/>
        </w:rPr>
        <w:t xml:space="preserve"> 课程设置附表</w:t>
      </w:r>
    </w:p>
    <w:tbl>
      <w:tblPr>
        <w:tblW w:w="4992" w:type="pct"/>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32"/>
        <w:gridCol w:w="1203"/>
        <w:gridCol w:w="1113"/>
        <w:gridCol w:w="2384"/>
        <w:gridCol w:w="532"/>
        <w:gridCol w:w="523"/>
        <w:gridCol w:w="1067"/>
        <w:gridCol w:w="882"/>
        <w:gridCol w:w="633"/>
      </w:tblGrid>
      <w:tr w:rsidR="00A81038" w:rsidRPr="00A81038" w:rsidTr="002412EF">
        <w:trPr>
          <w:trHeight w:val="170"/>
          <w:tblHeader/>
          <w:jc w:val="center"/>
        </w:trPr>
        <w:tc>
          <w:tcPr>
            <w:tcW w:w="1110" w:type="pct"/>
            <w:gridSpan w:val="2"/>
            <w:vMerge w:val="restart"/>
            <w:tcBorders>
              <w:top w:val="single" w:sz="4" w:space="0" w:color="auto"/>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课程属性</w:t>
            </w:r>
          </w:p>
        </w:tc>
        <w:tc>
          <w:tcPr>
            <w:tcW w:w="607" w:type="pct"/>
            <w:vMerge w:val="restart"/>
            <w:tcBorders>
              <w:top w:val="single" w:sz="4" w:space="0" w:color="auto"/>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课程编号</w:t>
            </w:r>
          </w:p>
        </w:tc>
        <w:tc>
          <w:tcPr>
            <w:tcW w:w="1300" w:type="pct"/>
            <w:vMerge w:val="restart"/>
            <w:tcBorders>
              <w:top w:val="single" w:sz="4" w:space="0" w:color="auto"/>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课程名称</w:t>
            </w:r>
          </w:p>
        </w:tc>
        <w:tc>
          <w:tcPr>
            <w:tcW w:w="290" w:type="pct"/>
            <w:vMerge w:val="restart"/>
            <w:tcBorders>
              <w:top w:val="single" w:sz="4" w:space="0" w:color="auto"/>
              <w:left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学时</w:t>
            </w:r>
          </w:p>
        </w:tc>
        <w:tc>
          <w:tcPr>
            <w:tcW w:w="285" w:type="pct"/>
            <w:vMerge w:val="restart"/>
            <w:tcBorders>
              <w:top w:val="single" w:sz="4" w:space="0" w:color="auto"/>
              <w:left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学分</w:t>
            </w:r>
          </w:p>
        </w:tc>
        <w:tc>
          <w:tcPr>
            <w:tcW w:w="1063" w:type="pct"/>
            <w:gridSpan w:val="2"/>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 xml:space="preserve"> 开课计划</w:t>
            </w:r>
          </w:p>
        </w:tc>
        <w:tc>
          <w:tcPr>
            <w:tcW w:w="345" w:type="pct"/>
            <w:tcBorders>
              <w:top w:val="single" w:sz="4" w:space="0" w:color="auto"/>
              <w:left w:val="single" w:sz="4" w:space="0" w:color="auto"/>
              <w:bottom w:val="nil"/>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考核</w:t>
            </w:r>
          </w:p>
        </w:tc>
      </w:tr>
      <w:tr w:rsidR="00A81038" w:rsidRPr="00A81038" w:rsidTr="002412EF">
        <w:trPr>
          <w:trHeight w:val="170"/>
          <w:tblHeader/>
          <w:jc w:val="center"/>
        </w:trPr>
        <w:tc>
          <w:tcPr>
            <w:tcW w:w="1110" w:type="pct"/>
            <w:gridSpan w:val="2"/>
            <w:vMerge/>
            <w:tcBorders>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vMerge/>
            <w:tcBorders>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1300" w:type="pct"/>
            <w:vMerge/>
            <w:tcBorders>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290" w:type="pct"/>
            <w:vMerge/>
            <w:tcBorders>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p>
        </w:tc>
        <w:tc>
          <w:tcPr>
            <w:tcW w:w="285" w:type="pct"/>
            <w:vMerge/>
            <w:tcBorders>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第1年</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第2年</w:t>
            </w:r>
          </w:p>
        </w:tc>
        <w:tc>
          <w:tcPr>
            <w:tcW w:w="345" w:type="pct"/>
            <w:tcBorders>
              <w:top w:val="nil"/>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bCs/>
                <w:sz w:val="18"/>
                <w:szCs w:val="18"/>
              </w:rPr>
            </w:pPr>
            <w:r w:rsidRPr="00A81038">
              <w:rPr>
                <w:rFonts w:ascii="宋体" w:hAnsi="宋体" w:cs="Times New Roman" w:hint="eastAsia"/>
                <w:bCs/>
                <w:sz w:val="18"/>
                <w:szCs w:val="18"/>
              </w:rPr>
              <w:t>方式</w:t>
            </w:r>
          </w:p>
        </w:tc>
      </w:tr>
      <w:tr w:rsidR="00A81038" w:rsidRPr="00A81038" w:rsidTr="002412EF">
        <w:trPr>
          <w:trHeight w:val="170"/>
          <w:jc w:val="center"/>
        </w:trPr>
        <w:tc>
          <w:tcPr>
            <w:tcW w:w="1110" w:type="pct"/>
            <w:gridSpan w:val="2"/>
            <w:vMerge w:val="restar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公共课</w:t>
            </w:r>
          </w:p>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(3学分)</w:t>
            </w: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21009305</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中国特色社会主义理论与实践研究</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36</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2D029E" w:rsidP="00646FC2">
            <w:pPr>
              <w:jc w:val="center"/>
              <w:rPr>
                <w:rFonts w:ascii="宋体" w:hAnsi="宋体" w:cs="Times New Roman"/>
                <w:sz w:val="18"/>
                <w:szCs w:val="18"/>
              </w:rPr>
            </w:pPr>
            <w:r>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21009307</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自然辩证法概论</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2D029E" w:rsidP="00646FC2">
            <w:pPr>
              <w:jc w:val="center"/>
              <w:rPr>
                <w:rFonts w:ascii="宋体" w:hAnsi="宋体" w:cs="Times New Roman"/>
                <w:sz w:val="18"/>
                <w:szCs w:val="18"/>
              </w:rPr>
            </w:pPr>
            <w:r>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基础课</w:t>
            </w:r>
          </w:p>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(3学分)</w:t>
            </w: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22003482</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rPr>
                <w:rFonts w:ascii="宋体" w:hAnsi="宋体" w:cs="Times New Roman"/>
                <w:sz w:val="18"/>
                <w:szCs w:val="18"/>
              </w:rPr>
            </w:pPr>
            <w:r w:rsidRPr="00A81038">
              <w:rPr>
                <w:rFonts w:ascii="宋体" w:hAnsi="宋体" w:cs="Times New Roman" w:hint="eastAsia"/>
                <w:sz w:val="18"/>
                <w:szCs w:val="18"/>
              </w:rPr>
              <w:t>金融专业英语</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r w:rsidRPr="00A81038">
              <w:rPr>
                <w:rFonts w:ascii="宋体" w:hAnsi="宋体" w:cs="宋体" w:hint="eastAsia"/>
                <w:color w:val="000000"/>
                <w:kern w:val="0"/>
                <w:sz w:val="18"/>
                <w:szCs w:val="18"/>
              </w:rPr>
              <w:t>、</w:t>
            </w: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val="restar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2412EF">
            <w:pPr>
              <w:jc w:val="center"/>
              <w:rPr>
                <w:rFonts w:ascii="宋体" w:hAnsi="宋体" w:cs="Times New Roman"/>
                <w:color w:val="000000"/>
                <w:sz w:val="18"/>
                <w:szCs w:val="18"/>
              </w:rPr>
            </w:pPr>
            <w:r w:rsidRPr="00A81038">
              <w:rPr>
                <w:rFonts w:ascii="宋体" w:hAnsi="宋体" w:cs="Times New Roman" w:hint="eastAsia"/>
                <w:color w:val="000000"/>
                <w:sz w:val="18"/>
                <w:szCs w:val="18"/>
              </w:rPr>
              <w:t>专业课必修</w:t>
            </w:r>
          </w:p>
          <w:p w:rsidR="00A81038" w:rsidRPr="00A81038" w:rsidRDefault="00A81038" w:rsidP="002412EF">
            <w:pPr>
              <w:jc w:val="center"/>
              <w:rPr>
                <w:rFonts w:ascii="宋体" w:hAnsi="宋体" w:cs="Times New Roman"/>
                <w:color w:val="000000"/>
                <w:sz w:val="18"/>
                <w:szCs w:val="18"/>
              </w:rPr>
            </w:pPr>
            <w:r w:rsidRPr="00A81038">
              <w:rPr>
                <w:rFonts w:ascii="宋体" w:hAnsi="宋体" w:cs="Times New Roman" w:hint="eastAsia"/>
                <w:color w:val="000000"/>
                <w:sz w:val="18"/>
                <w:szCs w:val="18"/>
              </w:rPr>
              <w:t>(≥12学分)</w:t>
            </w: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color w:val="000000"/>
                <w:sz w:val="18"/>
                <w:szCs w:val="18"/>
              </w:rPr>
            </w:pPr>
            <w:r w:rsidRPr="00A81038">
              <w:rPr>
                <w:rFonts w:ascii="宋体" w:hAnsi="宋体" w:cs="Times New Roman" w:hint="eastAsia"/>
                <w:color w:val="000000"/>
                <w:sz w:val="18"/>
                <w:szCs w:val="18"/>
              </w:rPr>
              <w:t>22003483</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color w:val="000000"/>
                <w:sz w:val="18"/>
                <w:szCs w:val="18"/>
              </w:rPr>
            </w:pPr>
            <w:r w:rsidRPr="00A81038">
              <w:rPr>
                <w:rFonts w:ascii="宋体" w:hAnsi="宋体" w:cs="Times New Roman" w:hint="eastAsia"/>
                <w:color w:val="000000"/>
                <w:sz w:val="18"/>
                <w:szCs w:val="18"/>
              </w:rPr>
              <w:t>金融理论与政策</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color w:val="000000"/>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color w:val="000000"/>
                <w:sz w:val="18"/>
                <w:szCs w:val="18"/>
              </w:rPr>
            </w:pPr>
            <w:r w:rsidRPr="00A81038">
              <w:rPr>
                <w:rFonts w:ascii="宋体" w:hAnsi="宋体" w:cs="Times New Roman" w:hint="eastAsia"/>
                <w:color w:val="000000"/>
                <w:sz w:val="18"/>
                <w:szCs w:val="18"/>
              </w:rPr>
              <w:t>22003484</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衍生金融工具</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color w:val="000000"/>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color w:val="000000"/>
                <w:sz w:val="18"/>
                <w:szCs w:val="18"/>
              </w:rPr>
            </w:pPr>
            <w:r w:rsidRPr="00A81038">
              <w:rPr>
                <w:rFonts w:ascii="宋体" w:hAnsi="宋体" w:cs="Times New Roman" w:hint="eastAsia"/>
                <w:color w:val="000000"/>
                <w:sz w:val="18"/>
                <w:szCs w:val="18"/>
              </w:rPr>
              <w:t>22003485</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color w:val="000000"/>
                <w:sz w:val="18"/>
                <w:szCs w:val="18"/>
              </w:rPr>
            </w:pPr>
            <w:r w:rsidRPr="00A81038">
              <w:rPr>
                <w:rFonts w:ascii="宋体" w:hAnsi="宋体" w:cs="Times New Roman" w:hint="eastAsia"/>
                <w:color w:val="000000"/>
                <w:sz w:val="18"/>
                <w:szCs w:val="18"/>
              </w:rPr>
              <w:t>投资学</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color w:val="000000"/>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color w:val="000000"/>
                <w:sz w:val="18"/>
                <w:szCs w:val="18"/>
              </w:rPr>
            </w:pPr>
            <w:r w:rsidRPr="00A81038">
              <w:rPr>
                <w:rFonts w:ascii="宋体" w:hAnsi="宋体" w:cs="Times New Roman" w:hint="eastAsia"/>
                <w:color w:val="000000"/>
                <w:sz w:val="18"/>
                <w:szCs w:val="18"/>
              </w:rPr>
              <w:t>22003486</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宋体" w:hint="eastAsia"/>
                <w:color w:val="000000"/>
                <w:kern w:val="0"/>
                <w:sz w:val="18"/>
                <w:szCs w:val="18"/>
              </w:rPr>
              <w:t>公司金融</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color w:val="000000"/>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color w:val="000000"/>
                <w:sz w:val="18"/>
                <w:szCs w:val="18"/>
              </w:rPr>
            </w:pPr>
            <w:r w:rsidRPr="00A81038">
              <w:rPr>
                <w:rFonts w:ascii="宋体" w:hAnsi="宋体" w:cs="Times New Roman" w:hint="eastAsia"/>
                <w:color w:val="000000"/>
                <w:sz w:val="18"/>
                <w:szCs w:val="18"/>
              </w:rPr>
              <w:t>22003487</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color w:val="000000"/>
                <w:sz w:val="18"/>
                <w:szCs w:val="18"/>
              </w:rPr>
            </w:pPr>
            <w:r w:rsidRPr="00A81038">
              <w:rPr>
                <w:rFonts w:ascii="宋体" w:hAnsi="宋体" w:cs="Times New Roman" w:hint="eastAsia"/>
                <w:sz w:val="18"/>
                <w:szCs w:val="18"/>
              </w:rPr>
              <w:t>财务报表分析</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48</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val="restart"/>
            <w:tcBorders>
              <w:top w:val="single" w:sz="4" w:space="0" w:color="auto"/>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 xml:space="preserve">实践环节必修 </w:t>
            </w:r>
          </w:p>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(6学分)</w:t>
            </w: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521</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社会实践</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64</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4</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r w:rsidRPr="00A81038">
              <w:rPr>
                <w:rFonts w:ascii="宋体" w:hAnsi="宋体" w:cs="宋体" w:hint="eastAsia"/>
                <w:color w:val="000000"/>
                <w:kern w:val="0"/>
                <w:sz w:val="18"/>
                <w:szCs w:val="18"/>
              </w:rPr>
              <w:t>、</w:t>
            </w:r>
            <w:r w:rsidRPr="00A81038">
              <w:rPr>
                <w:rFonts w:ascii="宋体" w:hAnsi="宋体" w:cs="Times New Roman" w:hint="eastAsia"/>
                <w:sz w:val="18"/>
                <w:szCs w:val="18"/>
              </w:rPr>
              <w:t>秋</w:t>
            </w: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r w:rsidR="00A81038" w:rsidRPr="00A81038" w:rsidTr="002412EF">
        <w:trPr>
          <w:trHeight w:val="170"/>
          <w:jc w:val="center"/>
        </w:trPr>
        <w:tc>
          <w:tcPr>
            <w:tcW w:w="1110" w:type="pct"/>
            <w:gridSpan w:val="2"/>
            <w:vMerge/>
            <w:tcBorders>
              <w:top w:val="single" w:sz="4" w:space="0" w:color="auto"/>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902</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color w:val="000000"/>
                <w:sz w:val="18"/>
                <w:szCs w:val="18"/>
              </w:rPr>
            </w:pPr>
            <w:r w:rsidRPr="00A81038">
              <w:rPr>
                <w:rFonts w:ascii="宋体" w:hAnsi="宋体" w:cs="Times New Roman" w:hint="eastAsia"/>
                <w:sz w:val="18"/>
                <w:szCs w:val="18"/>
              </w:rPr>
              <w:t>专业学位论文写作</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16</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r w:rsidR="00A81038" w:rsidRPr="00A81038" w:rsidTr="002412EF">
        <w:trPr>
          <w:trHeight w:val="170"/>
          <w:jc w:val="center"/>
        </w:trPr>
        <w:tc>
          <w:tcPr>
            <w:tcW w:w="1110" w:type="pct"/>
            <w:gridSpan w:val="2"/>
            <w:vMerge/>
            <w:tcBorders>
              <w:top w:val="single" w:sz="4" w:space="0" w:color="auto"/>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107</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前沿讲座与论文进展</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16</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1</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r w:rsidRPr="00A81038">
              <w:rPr>
                <w:rFonts w:ascii="宋体" w:hAnsi="宋体" w:cs="宋体" w:hint="eastAsia"/>
                <w:color w:val="000000"/>
                <w:kern w:val="0"/>
                <w:sz w:val="18"/>
                <w:szCs w:val="18"/>
              </w:rPr>
              <w:t>、</w:t>
            </w: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r w:rsidRPr="00A81038">
              <w:rPr>
                <w:rFonts w:ascii="宋体" w:hAnsi="宋体" w:cs="宋体" w:hint="eastAsia"/>
                <w:color w:val="000000"/>
                <w:kern w:val="0"/>
                <w:sz w:val="18"/>
                <w:szCs w:val="18"/>
              </w:rPr>
              <w:t>、</w:t>
            </w:r>
            <w:r w:rsidRPr="00A81038">
              <w:rPr>
                <w:rFonts w:ascii="宋体" w:hAnsi="宋体" w:cs="Times New Roman" w:hint="eastAsia"/>
                <w:sz w:val="18"/>
                <w:szCs w:val="18"/>
              </w:rPr>
              <w:t>秋</w:t>
            </w: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r w:rsidR="00A81038" w:rsidRPr="00A81038" w:rsidTr="002412EF">
        <w:trPr>
          <w:trHeight w:val="170"/>
          <w:jc w:val="center"/>
        </w:trPr>
        <w:tc>
          <w:tcPr>
            <w:tcW w:w="1110" w:type="pct"/>
            <w:gridSpan w:val="2"/>
            <w:vMerge/>
            <w:tcBorders>
              <w:top w:val="single" w:sz="4" w:space="0" w:color="auto"/>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305</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论文开题报告</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0</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503</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拓展实践</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0</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r w:rsidR="00A81038" w:rsidRPr="00A81038" w:rsidTr="002412EF">
        <w:trPr>
          <w:trHeight w:val="170"/>
          <w:jc w:val="center"/>
        </w:trPr>
        <w:tc>
          <w:tcPr>
            <w:tcW w:w="454" w:type="pct"/>
            <w:vMerge w:val="restart"/>
            <w:tcBorders>
              <w:top w:val="single" w:sz="4" w:space="0" w:color="auto"/>
              <w:left w:val="single" w:sz="4" w:space="0" w:color="auto"/>
              <w:right w:val="single" w:sz="4" w:space="0" w:color="auto"/>
            </w:tcBorders>
            <w:vAlign w:val="center"/>
          </w:tcPr>
          <w:p w:rsidR="00A81038" w:rsidRPr="00A81038" w:rsidRDefault="002412EF" w:rsidP="002412EF">
            <w:pPr>
              <w:jc w:val="center"/>
              <w:rPr>
                <w:rFonts w:ascii="宋体" w:hAnsi="宋体" w:cs="Times New Roman"/>
                <w:sz w:val="18"/>
                <w:szCs w:val="18"/>
              </w:rPr>
            </w:pPr>
            <w:r>
              <w:rPr>
                <w:rFonts w:ascii="宋体" w:hAnsi="宋体" w:cs="Times New Roman" w:hint="eastAsia"/>
                <w:sz w:val="18"/>
                <w:szCs w:val="18"/>
              </w:rPr>
              <w:t>限选课</w:t>
            </w:r>
            <w:r w:rsidR="00A81038" w:rsidRPr="00A81038">
              <w:rPr>
                <w:rFonts w:ascii="宋体" w:hAnsi="宋体" w:cs="Times New Roman" w:hint="eastAsia"/>
                <w:sz w:val="18"/>
                <w:szCs w:val="18"/>
              </w:rPr>
              <w:t>（≥4学分）</w:t>
            </w:r>
          </w:p>
        </w:tc>
        <w:tc>
          <w:tcPr>
            <w:tcW w:w="656" w:type="pct"/>
            <w:vMerge w:val="restart"/>
            <w:tcBorders>
              <w:top w:val="single" w:sz="4" w:space="0" w:color="auto"/>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商业银行经营与风险管理</w:t>
            </w: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24003609</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宋体"/>
                <w:kern w:val="0"/>
                <w:sz w:val="18"/>
                <w:szCs w:val="18"/>
              </w:rPr>
              <w:t>金融伦理与职业道德</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24003610</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宋体"/>
                <w:kern w:val="0"/>
                <w:sz w:val="18"/>
                <w:szCs w:val="18"/>
              </w:rPr>
            </w:pPr>
            <w:r w:rsidRPr="00A81038">
              <w:rPr>
                <w:rFonts w:ascii="宋体" w:hAnsi="宋体" w:cs="宋体" w:hint="eastAsia"/>
                <w:kern w:val="0"/>
                <w:sz w:val="18"/>
                <w:szCs w:val="18"/>
              </w:rPr>
              <w:t>金融监管</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24003614</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widowControl/>
              <w:snapToGrid w:val="0"/>
              <w:spacing w:line="20" w:lineRule="atLeast"/>
              <w:jc w:val="left"/>
              <w:rPr>
                <w:rFonts w:ascii="宋体" w:hAnsi="宋体" w:cs="宋体"/>
                <w:kern w:val="0"/>
                <w:sz w:val="18"/>
                <w:szCs w:val="18"/>
              </w:rPr>
            </w:pPr>
            <w:r w:rsidRPr="00A81038">
              <w:rPr>
                <w:rFonts w:ascii="宋体" w:hAnsi="宋体" w:cs="宋体" w:hint="eastAsia"/>
                <w:kern w:val="0"/>
                <w:sz w:val="18"/>
                <w:szCs w:val="18"/>
              </w:rPr>
              <w:t>金融企业经营与风险</w:t>
            </w:r>
            <w:r w:rsidRPr="00A81038">
              <w:rPr>
                <w:rFonts w:ascii="宋体" w:hAnsi="宋体" w:cs="宋体"/>
                <w:kern w:val="0"/>
                <w:sz w:val="18"/>
                <w:szCs w:val="18"/>
              </w:rPr>
              <w:t>管理</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val="restart"/>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证券投资</w:t>
            </w:r>
          </w:p>
          <w:p w:rsidR="00A81038" w:rsidRPr="00A81038" w:rsidRDefault="00A81038" w:rsidP="00646FC2">
            <w:pPr>
              <w:widowControl/>
              <w:jc w:val="center"/>
              <w:rPr>
                <w:rFonts w:ascii="宋体" w:hAnsi="宋体" w:cs="Times New Roman"/>
                <w:sz w:val="18"/>
                <w:szCs w:val="18"/>
              </w:rPr>
            </w:pPr>
            <w:r w:rsidRPr="00A81038">
              <w:rPr>
                <w:rFonts w:ascii="宋体" w:hAnsi="宋体" w:cs="Times New Roman" w:hint="eastAsia"/>
                <w:sz w:val="18"/>
                <w:szCs w:val="18"/>
              </w:rPr>
              <w:t>公司金融</w:t>
            </w:r>
          </w:p>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24003611</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投资银行业务</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24003612</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私</w:t>
            </w:r>
            <w:proofErr w:type="gramStart"/>
            <w:r w:rsidRPr="00A81038">
              <w:rPr>
                <w:rFonts w:ascii="宋体" w:hAnsi="宋体" w:cs="Times New Roman" w:hint="eastAsia"/>
                <w:sz w:val="18"/>
                <w:szCs w:val="18"/>
              </w:rPr>
              <w:t>募股权</w:t>
            </w:r>
            <w:proofErr w:type="gramEnd"/>
            <w:r w:rsidRPr="00A81038">
              <w:rPr>
                <w:rFonts w:ascii="宋体" w:hAnsi="宋体" w:cs="Times New Roman" w:hint="eastAsia"/>
                <w:sz w:val="18"/>
                <w:szCs w:val="18"/>
              </w:rPr>
              <w:t>与风险投资</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24003617</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宋体"/>
                <w:kern w:val="0"/>
                <w:sz w:val="18"/>
                <w:szCs w:val="18"/>
              </w:rPr>
              <w:t>企业并购与重组实务</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454" w:type="pct"/>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u w:val="single"/>
              </w:rPr>
            </w:pPr>
          </w:p>
        </w:tc>
        <w:tc>
          <w:tcPr>
            <w:tcW w:w="656" w:type="pct"/>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24003621</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量化投资</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val="restart"/>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选修课</w:t>
            </w:r>
          </w:p>
          <w:p w:rsidR="00A81038" w:rsidRPr="00A81038" w:rsidRDefault="00A81038" w:rsidP="007749D3">
            <w:pPr>
              <w:jc w:val="center"/>
              <w:rPr>
                <w:rFonts w:ascii="宋体" w:hAnsi="宋体" w:cs="Times New Roman"/>
                <w:sz w:val="18"/>
                <w:szCs w:val="18"/>
              </w:rPr>
            </w:pPr>
            <w:r w:rsidRPr="00A81038">
              <w:rPr>
                <w:rFonts w:ascii="宋体" w:hAnsi="宋体" w:cs="Times New Roman" w:hint="eastAsia"/>
                <w:sz w:val="18"/>
                <w:szCs w:val="18"/>
              </w:rPr>
              <w:t>（≥12学分）</w:t>
            </w: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24003615</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基金投资与管理</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24003616</w:t>
            </w:r>
          </w:p>
        </w:tc>
        <w:tc>
          <w:tcPr>
            <w:tcW w:w="1300"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财富管理</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24003618</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行为金融学</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24003620</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金融数据分析</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24003622</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固定收益证券</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24003623</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创新性金融业务</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23003320</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投资分析与实务操作</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考试</w:t>
            </w:r>
          </w:p>
        </w:tc>
      </w:tr>
      <w:tr w:rsidR="00A81038" w:rsidRPr="00A81038" w:rsidTr="002412EF">
        <w:trPr>
          <w:trHeight w:val="170"/>
          <w:jc w:val="center"/>
        </w:trPr>
        <w:tc>
          <w:tcPr>
            <w:tcW w:w="1110" w:type="pct"/>
            <w:gridSpan w:val="2"/>
            <w:vMerge/>
            <w:tcBorders>
              <w:left w:val="single" w:sz="4" w:space="0" w:color="auto"/>
              <w:right w:val="single" w:sz="4" w:space="0" w:color="auto"/>
            </w:tcBorders>
            <w:vAlign w:val="center"/>
          </w:tcPr>
          <w:p w:rsidR="00A81038" w:rsidRPr="00A81038" w:rsidRDefault="00A81038" w:rsidP="00646FC2">
            <w:pPr>
              <w:widowControl/>
              <w:jc w:val="center"/>
              <w:rPr>
                <w:rFonts w:ascii="宋体" w:hAnsi="宋体"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23003321</w:t>
            </w:r>
          </w:p>
        </w:tc>
        <w:tc>
          <w:tcPr>
            <w:tcW w:w="130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left"/>
              <w:rPr>
                <w:rFonts w:ascii="宋体" w:hAnsi="宋体" w:cs="Times New Roman"/>
                <w:sz w:val="18"/>
                <w:szCs w:val="18"/>
              </w:rPr>
            </w:pPr>
            <w:r w:rsidRPr="00A81038">
              <w:rPr>
                <w:rFonts w:ascii="宋体" w:hAnsi="宋体" w:cs="Times New Roman" w:hint="eastAsia"/>
                <w:sz w:val="18"/>
                <w:szCs w:val="18"/>
              </w:rPr>
              <w:t>创新创业实践</w:t>
            </w:r>
          </w:p>
        </w:tc>
        <w:tc>
          <w:tcPr>
            <w:tcW w:w="290"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32</w:t>
            </w:r>
          </w:p>
        </w:tc>
        <w:tc>
          <w:tcPr>
            <w:tcW w:w="28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2</w:t>
            </w:r>
          </w:p>
        </w:tc>
        <w:tc>
          <w:tcPr>
            <w:tcW w:w="582"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春</w:t>
            </w:r>
            <w:r w:rsidRPr="00A81038">
              <w:rPr>
                <w:rFonts w:ascii="宋体" w:hAnsi="宋体" w:cs="宋体" w:hint="eastAsia"/>
                <w:kern w:val="0"/>
                <w:sz w:val="18"/>
                <w:szCs w:val="18"/>
              </w:rPr>
              <w:t>、</w:t>
            </w:r>
            <w:r w:rsidRPr="00A81038">
              <w:rPr>
                <w:rFonts w:ascii="宋体" w:hAnsi="宋体" w:cs="Times New Roman" w:hint="eastAsia"/>
                <w:sz w:val="18"/>
                <w:szCs w:val="18"/>
              </w:rPr>
              <w:t>秋</w:t>
            </w:r>
          </w:p>
        </w:tc>
        <w:tc>
          <w:tcPr>
            <w:tcW w:w="481"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p>
        </w:tc>
        <w:tc>
          <w:tcPr>
            <w:tcW w:w="345" w:type="pct"/>
            <w:tcBorders>
              <w:top w:val="single" w:sz="4" w:space="0" w:color="auto"/>
              <w:left w:val="single" w:sz="4" w:space="0" w:color="auto"/>
              <w:bottom w:val="single" w:sz="4" w:space="0" w:color="auto"/>
              <w:right w:val="single" w:sz="4" w:space="0" w:color="auto"/>
            </w:tcBorders>
            <w:vAlign w:val="center"/>
          </w:tcPr>
          <w:p w:rsidR="00A81038" w:rsidRPr="00A81038" w:rsidRDefault="00A81038" w:rsidP="00646FC2">
            <w:pPr>
              <w:jc w:val="center"/>
              <w:rPr>
                <w:rFonts w:ascii="宋体" w:hAnsi="宋体" w:cs="Times New Roman"/>
                <w:sz w:val="18"/>
                <w:szCs w:val="18"/>
              </w:rPr>
            </w:pPr>
            <w:r w:rsidRPr="00A81038">
              <w:rPr>
                <w:rFonts w:ascii="宋体" w:hAnsi="宋体" w:cs="Times New Roman" w:hint="eastAsia"/>
                <w:sz w:val="18"/>
                <w:szCs w:val="18"/>
              </w:rPr>
              <w:t>考查</w:t>
            </w:r>
          </w:p>
        </w:tc>
      </w:tr>
    </w:tbl>
    <w:p w:rsidR="00755516" w:rsidRDefault="00755516" w:rsidP="00755516">
      <w:pPr>
        <w:widowControl/>
        <w:jc w:val="left"/>
        <w:rPr>
          <w:rFonts w:ascii="宋体" w:hAnsi="宋体" w:cs="宋体"/>
          <w:kern w:val="0"/>
          <w:sz w:val="20"/>
          <w:szCs w:val="20"/>
        </w:rPr>
      </w:pPr>
    </w:p>
    <w:p w:rsidR="00A81038" w:rsidRPr="00755516" w:rsidRDefault="00755516" w:rsidP="00A47672">
      <w:pPr>
        <w:widowControl/>
        <w:jc w:val="left"/>
        <w:rPr>
          <w:rFonts w:ascii="宋体" w:hAnsi="宋体" w:cs="宋体"/>
          <w:kern w:val="0"/>
          <w:sz w:val="21"/>
          <w:szCs w:val="21"/>
        </w:rPr>
      </w:pPr>
      <w:r w:rsidRPr="00755516">
        <w:rPr>
          <w:rFonts w:ascii="宋体" w:hAnsi="宋体" w:cs="宋体" w:hint="eastAsia"/>
          <w:kern w:val="0"/>
          <w:sz w:val="21"/>
          <w:szCs w:val="21"/>
        </w:rPr>
        <w:t>备注：</w:t>
      </w:r>
      <w:r w:rsidR="00A81038" w:rsidRPr="00755516">
        <w:rPr>
          <w:rFonts w:ascii="宋体" w:hAnsi="宋体" w:cs="宋体" w:hint="eastAsia"/>
          <w:kern w:val="0"/>
          <w:sz w:val="21"/>
          <w:szCs w:val="21"/>
        </w:rPr>
        <w:t>限选课可作为其它方向的选修课。</w:t>
      </w:r>
    </w:p>
    <w:p w:rsidR="00755516" w:rsidRPr="00755516" w:rsidRDefault="00A47672" w:rsidP="00A47672">
      <w:pPr>
        <w:spacing w:before="240" w:after="240"/>
        <w:ind w:firstLineChars="200" w:firstLine="420"/>
        <w:jc w:val="left"/>
        <w:rPr>
          <w:rFonts w:ascii="宋体" w:hAnsi="宋体" w:cs="Times New Roman"/>
          <w:sz w:val="21"/>
          <w:szCs w:val="21"/>
        </w:rPr>
      </w:pPr>
      <w:r>
        <w:rPr>
          <w:rFonts w:ascii="宋体" w:hAnsi="宋体" w:cs="Times New Roman" w:hint="eastAsia"/>
          <w:color w:val="000000"/>
          <w:sz w:val="21"/>
          <w:szCs w:val="21"/>
        </w:rPr>
        <w:t>5</w:t>
      </w:r>
      <w:r w:rsidR="00755516" w:rsidRPr="00755516">
        <w:rPr>
          <w:rFonts w:ascii="宋体" w:hAnsi="宋体" w:cs="Times New Roman" w:hint="eastAsia"/>
          <w:color w:val="000000"/>
          <w:sz w:val="21"/>
          <w:szCs w:val="21"/>
        </w:rPr>
        <w:t>.</w:t>
      </w:r>
      <w:r w:rsidR="00755516" w:rsidRPr="00755516">
        <w:rPr>
          <w:rFonts w:ascii="宋体" w:hAnsi="宋体" w:cs="Times New Roman" w:hint="eastAsia"/>
          <w:sz w:val="21"/>
          <w:szCs w:val="21"/>
        </w:rPr>
        <w:t xml:space="preserve"> 创新创业实践认定方式</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t>每参加4次学院组织的素质拓展活动计1学分；</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t xml:space="preserve">在完成发表答辩及授予学位要求的学术论文外，另行发表CSSCI、EI期刊、SCI、SSCI论文，每发表一篇计2学分； </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t xml:space="preserve">全程参加学校立项的暑期、寒假社会实践活动，且排名在前10名（含）以内的团队成员，每人计1学分； </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lastRenderedPageBreak/>
        <w:t xml:space="preserve">参加教育部及各专业教学指导委员会主办的全国性学术科技竞赛，获一、二、三等奖团队的成员，每人计1学分； </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t xml:space="preserve">获“全国百篇优秀管理案例”或入选中国管理案例共享中心案例库、中国专业学位教学案例中心案例库，且排名在前5名（含）以内的团队成员，每人计1学分； </w:t>
      </w:r>
    </w:p>
    <w:p w:rsidR="00755516" w:rsidRPr="00755516" w:rsidRDefault="00755516" w:rsidP="004802D3">
      <w:pPr>
        <w:numPr>
          <w:ilvl w:val="0"/>
          <w:numId w:val="3"/>
        </w:numPr>
        <w:ind w:left="1259"/>
        <w:jc w:val="left"/>
        <w:rPr>
          <w:rFonts w:ascii="宋体" w:hAnsi="宋体" w:cs="Times New Roman"/>
          <w:sz w:val="21"/>
          <w:szCs w:val="21"/>
        </w:rPr>
      </w:pPr>
      <w:r w:rsidRPr="00755516">
        <w:rPr>
          <w:rFonts w:ascii="宋体" w:hAnsi="宋体" w:cs="Times New Roman" w:hint="eastAsia"/>
          <w:sz w:val="21"/>
          <w:szCs w:val="21"/>
        </w:rPr>
        <w:t>获省部级以上科技奖励的成果完成人，且排名在前5名（含）以内的成员，每项计1学分。</w:t>
      </w:r>
    </w:p>
    <w:p w:rsidR="00E247AA" w:rsidRPr="00F75FBF" w:rsidRDefault="00A47672" w:rsidP="00F75FBF">
      <w:pPr>
        <w:tabs>
          <w:tab w:val="left" w:pos="5385"/>
        </w:tabs>
        <w:spacing w:before="240" w:after="240"/>
        <w:ind w:firstLineChars="200" w:firstLine="420"/>
        <w:jc w:val="left"/>
        <w:rPr>
          <w:rFonts w:ascii="宋体" w:hAnsi="宋体" w:cs="Times New Roman"/>
          <w:color w:val="000000"/>
          <w:sz w:val="21"/>
          <w:szCs w:val="21"/>
        </w:rPr>
      </w:pPr>
      <w:r>
        <w:rPr>
          <w:rFonts w:ascii="宋体" w:hAnsi="宋体" w:cs="Times New Roman" w:hint="eastAsia"/>
          <w:color w:val="000000"/>
          <w:sz w:val="21"/>
          <w:szCs w:val="21"/>
        </w:rPr>
        <w:t>6</w:t>
      </w:r>
      <w:r w:rsidR="00A81038" w:rsidRPr="00F75FBF">
        <w:rPr>
          <w:rFonts w:ascii="宋体" w:hAnsi="宋体" w:cs="Times New Roman" w:hint="eastAsia"/>
          <w:color w:val="000000"/>
          <w:sz w:val="21"/>
          <w:szCs w:val="21"/>
        </w:rPr>
        <w:t xml:space="preserve">. </w:t>
      </w:r>
      <w:r w:rsidR="00E247AA" w:rsidRPr="00F75FBF">
        <w:rPr>
          <w:rFonts w:ascii="宋体" w:hAnsi="宋体" w:cs="Times New Roman" w:hint="eastAsia"/>
          <w:color w:val="000000"/>
          <w:sz w:val="21"/>
          <w:szCs w:val="21"/>
        </w:rPr>
        <w:t>课程目标要求矩阵表</w:t>
      </w:r>
    </w:p>
    <w:p w:rsidR="00A81038" w:rsidRPr="00755516" w:rsidRDefault="00E247AA" w:rsidP="00755516">
      <w:pPr>
        <w:widowControl/>
        <w:spacing w:before="240" w:after="240"/>
        <w:ind w:firstLineChars="200" w:firstLine="420"/>
        <w:jc w:val="left"/>
        <w:rPr>
          <w:rFonts w:ascii="宋体" w:hAnsi="宋体" w:cs="宋体"/>
          <w:kern w:val="0"/>
          <w:sz w:val="21"/>
          <w:szCs w:val="21"/>
        </w:rPr>
      </w:pPr>
      <w:r w:rsidRPr="00F75FBF">
        <w:rPr>
          <w:rFonts w:ascii="宋体" w:hAnsi="宋体" w:cs="宋体" w:hint="eastAsia"/>
          <w:kern w:val="0"/>
          <w:sz w:val="21"/>
          <w:szCs w:val="21"/>
        </w:rPr>
        <w:t>针对毕业生的能力培养目标，我校金融硕士专业学位项目要求每门课程都必须列出课程目标矩阵。</w:t>
      </w:r>
    </w:p>
    <w:tbl>
      <w:tblPr>
        <w:tblW w:w="8846" w:type="dxa"/>
        <w:jc w:val="center"/>
        <w:tblInd w:w="-543" w:type="dxa"/>
        <w:tblLook w:val="0000"/>
      </w:tblPr>
      <w:tblGrid>
        <w:gridCol w:w="2916"/>
        <w:gridCol w:w="576"/>
        <w:gridCol w:w="576"/>
        <w:gridCol w:w="576"/>
        <w:gridCol w:w="576"/>
        <w:gridCol w:w="576"/>
        <w:gridCol w:w="576"/>
        <w:gridCol w:w="576"/>
        <w:gridCol w:w="576"/>
        <w:gridCol w:w="576"/>
        <w:gridCol w:w="746"/>
      </w:tblGrid>
      <w:tr w:rsidR="00E247AA" w:rsidRPr="00A81038" w:rsidTr="004C2A03">
        <w:trPr>
          <w:trHeight w:val="240"/>
          <w:jc w:val="center"/>
        </w:trPr>
        <w:tc>
          <w:tcPr>
            <w:tcW w:w="2916" w:type="dxa"/>
            <w:tcBorders>
              <w:top w:val="single" w:sz="4" w:space="0" w:color="auto"/>
              <w:left w:val="single" w:sz="4" w:space="0" w:color="auto"/>
              <w:bottom w:val="nil"/>
              <w:right w:val="single" w:sz="4" w:space="0" w:color="auto"/>
            </w:tcBorders>
            <w:shd w:val="clear" w:color="auto" w:fill="auto"/>
            <w:vAlign w:val="center"/>
          </w:tcPr>
          <w:p w:rsidR="00E247AA" w:rsidRPr="00A81038" w:rsidRDefault="003F436E" w:rsidP="00F85586">
            <w:pPr>
              <w:widowControl/>
              <w:jc w:val="center"/>
              <w:rPr>
                <w:rFonts w:ascii="宋体" w:hAnsi="宋体" w:cs="宋体"/>
                <w:bCs/>
                <w:kern w:val="0"/>
                <w:sz w:val="18"/>
                <w:szCs w:val="18"/>
              </w:rPr>
            </w:pPr>
            <w:r>
              <w:rPr>
                <w:rFonts w:ascii="宋体" w:hAnsi="宋体" w:cs="宋体"/>
                <w:bCs/>
                <w:noProof/>
                <w:kern w:val="0"/>
                <w:sz w:val="18"/>
                <w:szCs w:val="18"/>
              </w:rPr>
              <w:pict>
                <v:line id="_x0000_s1026" style="position:absolute;left:0;text-align:left;z-index:251660288" from="-5.6pt,.8pt" to="126.85pt,32pt"/>
              </w:pict>
            </w:r>
            <w:r w:rsidR="00E247AA" w:rsidRPr="00A81038">
              <w:rPr>
                <w:rFonts w:ascii="宋体" w:hAnsi="宋体" w:cs="宋体" w:hint="eastAsia"/>
                <w:bCs/>
                <w:kern w:val="0"/>
                <w:sz w:val="18"/>
                <w:szCs w:val="18"/>
              </w:rPr>
              <w:t>目标</w:t>
            </w:r>
          </w:p>
        </w:tc>
        <w:tc>
          <w:tcPr>
            <w:tcW w:w="1152" w:type="dxa"/>
            <w:gridSpan w:val="2"/>
            <w:tcBorders>
              <w:top w:val="single" w:sz="4" w:space="0" w:color="auto"/>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1</w:t>
            </w:r>
          </w:p>
        </w:tc>
        <w:tc>
          <w:tcPr>
            <w:tcW w:w="1152" w:type="dxa"/>
            <w:gridSpan w:val="2"/>
            <w:tcBorders>
              <w:top w:val="single" w:sz="4" w:space="0" w:color="auto"/>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2</w:t>
            </w:r>
          </w:p>
        </w:tc>
        <w:tc>
          <w:tcPr>
            <w:tcW w:w="1152" w:type="dxa"/>
            <w:gridSpan w:val="2"/>
            <w:tcBorders>
              <w:top w:val="single" w:sz="4" w:space="0" w:color="auto"/>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3</w:t>
            </w:r>
          </w:p>
        </w:tc>
        <w:tc>
          <w:tcPr>
            <w:tcW w:w="1152" w:type="dxa"/>
            <w:gridSpan w:val="2"/>
            <w:tcBorders>
              <w:top w:val="single" w:sz="4" w:space="0" w:color="auto"/>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4</w:t>
            </w:r>
          </w:p>
        </w:tc>
        <w:tc>
          <w:tcPr>
            <w:tcW w:w="1322" w:type="dxa"/>
            <w:gridSpan w:val="2"/>
            <w:tcBorders>
              <w:top w:val="single" w:sz="4" w:space="0" w:color="auto"/>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5</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bCs/>
                <w:kern w:val="0"/>
                <w:sz w:val="18"/>
                <w:szCs w:val="18"/>
              </w:rPr>
            </w:pPr>
            <w:r w:rsidRPr="00A81038">
              <w:rPr>
                <w:rFonts w:ascii="宋体" w:hAnsi="宋体" w:cs="宋体" w:hint="eastAsia"/>
                <w:bCs/>
                <w:kern w:val="0"/>
                <w:sz w:val="18"/>
                <w:szCs w:val="18"/>
              </w:rPr>
              <w:t>课程名称</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1.1</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kern w:val="0"/>
                <w:sz w:val="18"/>
                <w:szCs w:val="18"/>
              </w:rPr>
              <w:t>1.2</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2</w:t>
            </w:r>
            <w:r w:rsidRPr="00A81038">
              <w:rPr>
                <w:rFonts w:ascii="宋体" w:hAnsi="宋体" w:cs="宋体"/>
                <w:kern w:val="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2</w:t>
            </w:r>
            <w:r w:rsidRPr="00A81038">
              <w:rPr>
                <w:rFonts w:ascii="宋体" w:hAnsi="宋体" w:cs="宋体"/>
                <w:kern w:val="0"/>
                <w:sz w:val="18"/>
                <w:szCs w:val="18"/>
              </w:rPr>
              <w:t>.2</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3</w:t>
            </w:r>
            <w:r w:rsidRPr="00A81038">
              <w:rPr>
                <w:rFonts w:ascii="宋体" w:hAnsi="宋体" w:cs="宋体"/>
                <w:kern w:val="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3</w:t>
            </w:r>
            <w:r w:rsidRPr="00A81038">
              <w:rPr>
                <w:rFonts w:ascii="宋体" w:hAnsi="宋体" w:cs="宋体"/>
                <w:kern w:val="0"/>
                <w:sz w:val="18"/>
                <w:szCs w:val="18"/>
              </w:rPr>
              <w:t>.2</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4</w:t>
            </w:r>
            <w:r w:rsidRPr="00A81038">
              <w:rPr>
                <w:rFonts w:ascii="宋体" w:hAnsi="宋体" w:cs="宋体"/>
                <w:kern w:val="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4</w:t>
            </w:r>
            <w:r w:rsidRPr="00A81038">
              <w:rPr>
                <w:rFonts w:ascii="宋体" w:hAnsi="宋体" w:cs="宋体"/>
                <w:kern w:val="0"/>
                <w:sz w:val="18"/>
                <w:szCs w:val="18"/>
              </w:rPr>
              <w:t>.2</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5</w:t>
            </w:r>
            <w:r w:rsidRPr="00A81038">
              <w:rPr>
                <w:rFonts w:ascii="宋体" w:hAnsi="宋体" w:cs="宋体"/>
                <w:kern w:val="0"/>
                <w:sz w:val="18"/>
                <w:szCs w:val="18"/>
              </w:rPr>
              <w:t>.1</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5</w:t>
            </w:r>
            <w:r w:rsidRPr="00A81038">
              <w:rPr>
                <w:rFonts w:ascii="宋体" w:hAnsi="宋体" w:cs="宋体"/>
                <w:kern w:val="0"/>
                <w:sz w:val="18"/>
                <w:szCs w:val="18"/>
              </w:rPr>
              <w:t>.2</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中国特色社会主义理论与实践研究</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自然辩证法概论</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金融专业英语</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金融理论与政策</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衍生金融工具</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投资学</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公司金融</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财务报表分析</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金融伦理与职业道德</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金融监管</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投资银行业务</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私</w:t>
            </w:r>
            <w:proofErr w:type="gramStart"/>
            <w:r w:rsidRPr="00A81038">
              <w:rPr>
                <w:rFonts w:ascii="宋体" w:hAnsi="宋体" w:cs="宋体" w:hint="eastAsia"/>
                <w:color w:val="000000"/>
                <w:kern w:val="0"/>
                <w:sz w:val="18"/>
                <w:szCs w:val="18"/>
              </w:rPr>
              <w:t>募股权</w:t>
            </w:r>
            <w:proofErr w:type="gramEnd"/>
            <w:r w:rsidRPr="00A81038">
              <w:rPr>
                <w:rFonts w:ascii="宋体" w:hAnsi="宋体" w:cs="宋体" w:hint="eastAsia"/>
                <w:color w:val="000000"/>
                <w:kern w:val="0"/>
                <w:sz w:val="18"/>
                <w:szCs w:val="18"/>
              </w:rPr>
              <w:t>与风险投资</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金融企业经营与风险管理</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基金投资与管理</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财富管理</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企业并购与重组实务</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行为金融学</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金融数据分析</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量化投资</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固定收益证券</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创新性金融业务</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r>
      <w:tr w:rsidR="00A47672"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kern w:val="0"/>
                <w:sz w:val="18"/>
                <w:szCs w:val="18"/>
              </w:rPr>
            </w:pPr>
            <w:r w:rsidRPr="00A47672">
              <w:rPr>
                <w:rFonts w:ascii="宋体" w:hAnsi="宋体" w:cs="宋体" w:hint="eastAsia"/>
                <w:kern w:val="0"/>
                <w:sz w:val="18"/>
                <w:szCs w:val="18"/>
              </w:rPr>
              <w:t>投资分析与实务操作</w:t>
            </w:r>
          </w:p>
        </w:tc>
        <w:tc>
          <w:tcPr>
            <w:tcW w:w="576" w:type="dxa"/>
            <w:tcBorders>
              <w:top w:val="nil"/>
              <w:left w:val="nil"/>
              <w:bottom w:val="single" w:sz="4" w:space="0" w:color="auto"/>
              <w:right w:val="single" w:sz="4" w:space="0" w:color="auto"/>
            </w:tcBorders>
            <w:shd w:val="clear" w:color="auto" w:fill="auto"/>
            <w:vAlign w:val="center"/>
          </w:tcPr>
          <w:p w:rsidR="00A47672" w:rsidRPr="007E2CEF" w:rsidRDefault="00A47672" w:rsidP="00646FC2">
            <w:pPr>
              <w:widowControl/>
              <w:jc w:val="center"/>
              <w:rPr>
                <w:rFonts w:ascii="宋体" w:hAnsi="宋体" w:cs="宋体"/>
                <w:color w:val="000000"/>
                <w:kern w:val="0"/>
                <w:sz w:val="20"/>
                <w:szCs w:val="20"/>
              </w:rPr>
            </w:pPr>
            <w:r w:rsidRPr="007E2CEF">
              <w:rPr>
                <w:rFonts w:ascii="宋体" w:hAnsi="宋体" w:cs="宋体" w:hint="eastAsia"/>
                <w:color w:val="000000"/>
                <w:kern w:val="0"/>
                <w:sz w:val="20"/>
                <w:szCs w:val="20"/>
              </w:rPr>
              <w:t>√</w:t>
            </w:r>
          </w:p>
        </w:tc>
        <w:tc>
          <w:tcPr>
            <w:tcW w:w="576" w:type="dxa"/>
            <w:tcBorders>
              <w:top w:val="nil"/>
              <w:left w:val="nil"/>
              <w:bottom w:val="single" w:sz="4" w:space="0" w:color="auto"/>
              <w:right w:val="single" w:sz="4" w:space="0" w:color="auto"/>
            </w:tcBorders>
            <w:shd w:val="clear" w:color="auto" w:fill="auto"/>
            <w:vAlign w:val="center"/>
          </w:tcPr>
          <w:p w:rsidR="00A47672" w:rsidRPr="007E2CEF" w:rsidRDefault="00A47672" w:rsidP="00646FC2">
            <w:pPr>
              <w:widowControl/>
              <w:jc w:val="center"/>
              <w:rPr>
                <w:rFonts w:cs="宋体"/>
                <w:color w:val="000000"/>
                <w:kern w:val="0"/>
                <w:sz w:val="20"/>
                <w:szCs w:val="20"/>
              </w:rPr>
            </w:pPr>
            <w:r w:rsidRPr="007E2CEF">
              <w:rPr>
                <w:rFonts w:ascii="宋体" w:hAnsi="宋体" w:cs="宋体" w:hint="eastAsia"/>
                <w:color w:val="000000"/>
                <w:kern w:val="0"/>
                <w:sz w:val="20"/>
                <w:szCs w:val="20"/>
              </w:rPr>
              <w:t>√</w:t>
            </w:r>
          </w:p>
        </w:tc>
        <w:tc>
          <w:tcPr>
            <w:tcW w:w="576" w:type="dxa"/>
            <w:tcBorders>
              <w:top w:val="nil"/>
              <w:left w:val="nil"/>
              <w:bottom w:val="single" w:sz="4" w:space="0" w:color="auto"/>
              <w:right w:val="single" w:sz="4" w:space="0" w:color="auto"/>
            </w:tcBorders>
            <w:shd w:val="clear" w:color="auto" w:fill="auto"/>
            <w:vAlign w:val="center"/>
          </w:tcPr>
          <w:p w:rsidR="00A47672" w:rsidRPr="007E2CEF" w:rsidRDefault="00A47672" w:rsidP="00646FC2">
            <w:pPr>
              <w:widowControl/>
              <w:jc w:val="center"/>
              <w:rPr>
                <w:rFonts w:ascii="宋体" w:hAnsi="宋体" w:cs="宋体"/>
                <w:color w:val="000000"/>
                <w:kern w:val="0"/>
                <w:sz w:val="20"/>
                <w:szCs w:val="20"/>
              </w:rPr>
            </w:pPr>
            <w:r w:rsidRPr="007E2CEF">
              <w:rPr>
                <w:rFonts w:ascii="宋体" w:hAnsi="宋体" w:cs="宋体" w:hint="eastAsia"/>
                <w:color w:val="000000"/>
                <w:kern w:val="0"/>
                <w:sz w:val="20"/>
                <w:szCs w:val="20"/>
              </w:rPr>
              <w:t>√</w:t>
            </w:r>
          </w:p>
        </w:tc>
        <w:tc>
          <w:tcPr>
            <w:tcW w:w="576" w:type="dxa"/>
            <w:tcBorders>
              <w:top w:val="nil"/>
              <w:left w:val="nil"/>
              <w:bottom w:val="single" w:sz="4" w:space="0" w:color="auto"/>
              <w:right w:val="single" w:sz="4" w:space="0" w:color="auto"/>
            </w:tcBorders>
            <w:shd w:val="clear" w:color="auto" w:fill="auto"/>
            <w:vAlign w:val="center"/>
          </w:tcPr>
          <w:p w:rsidR="00A47672" w:rsidRPr="007E2CEF" w:rsidRDefault="00A47672" w:rsidP="00646FC2">
            <w:pPr>
              <w:widowControl/>
              <w:jc w:val="center"/>
              <w:rPr>
                <w:rFonts w:cs="宋体"/>
                <w:color w:val="000000"/>
                <w:kern w:val="0"/>
                <w:sz w:val="20"/>
                <w:szCs w:val="20"/>
              </w:rPr>
            </w:pPr>
            <w:r w:rsidRPr="007E2CEF">
              <w:rPr>
                <w:rFonts w:ascii="宋体" w:hAnsi="宋体" w:cs="宋体" w:hint="eastAsia"/>
                <w:color w:val="000000"/>
                <w:kern w:val="0"/>
                <w:sz w:val="20"/>
                <w:szCs w:val="20"/>
              </w:rPr>
              <w:t>√</w:t>
            </w:r>
          </w:p>
        </w:tc>
        <w:tc>
          <w:tcPr>
            <w:tcW w:w="57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A47672" w:rsidRPr="00A81038" w:rsidRDefault="00A47672" w:rsidP="00F85586">
            <w:pPr>
              <w:widowControl/>
              <w:jc w:val="center"/>
              <w:rPr>
                <w:rFonts w:ascii="宋体" w:hAnsi="宋体" w:cs="宋体"/>
                <w:color w:val="000000"/>
                <w:kern w:val="0"/>
                <w:sz w:val="18"/>
                <w:szCs w:val="18"/>
              </w:rPr>
            </w:pPr>
          </w:p>
        </w:tc>
      </w:tr>
      <w:tr w:rsidR="00E247AA" w:rsidRPr="00A81038" w:rsidTr="004C2A03">
        <w:trPr>
          <w:trHeight w:val="240"/>
          <w:jc w:val="center"/>
        </w:trPr>
        <w:tc>
          <w:tcPr>
            <w:tcW w:w="2916" w:type="dxa"/>
            <w:tcBorders>
              <w:top w:val="nil"/>
              <w:left w:val="single" w:sz="4" w:space="0" w:color="auto"/>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kern w:val="0"/>
                <w:sz w:val="18"/>
                <w:szCs w:val="18"/>
              </w:rPr>
            </w:pPr>
            <w:r w:rsidRPr="00A81038">
              <w:rPr>
                <w:rFonts w:ascii="宋体" w:hAnsi="宋体" w:cs="宋体" w:hint="eastAsia"/>
                <w:kern w:val="0"/>
                <w:sz w:val="18"/>
                <w:szCs w:val="18"/>
              </w:rPr>
              <w:t>创新创业实践</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r w:rsidRPr="00A81038">
              <w:rPr>
                <w:rFonts w:ascii="宋体" w:hAnsi="宋体" w:cs="宋体" w:hint="eastAsia"/>
                <w:color w:val="000000"/>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c>
          <w:tcPr>
            <w:tcW w:w="746" w:type="dxa"/>
            <w:tcBorders>
              <w:top w:val="nil"/>
              <w:left w:val="nil"/>
              <w:bottom w:val="single" w:sz="4" w:space="0" w:color="auto"/>
              <w:right w:val="single" w:sz="4" w:space="0" w:color="auto"/>
            </w:tcBorders>
            <w:shd w:val="clear" w:color="auto" w:fill="auto"/>
            <w:vAlign w:val="center"/>
          </w:tcPr>
          <w:p w:rsidR="00E247AA" w:rsidRPr="00A81038" w:rsidRDefault="00E247AA" w:rsidP="00F85586">
            <w:pPr>
              <w:widowControl/>
              <w:jc w:val="center"/>
              <w:rPr>
                <w:rFonts w:ascii="宋体" w:hAnsi="宋体" w:cs="宋体"/>
                <w:color w:val="000000"/>
                <w:kern w:val="0"/>
                <w:sz w:val="18"/>
                <w:szCs w:val="18"/>
              </w:rPr>
            </w:pPr>
          </w:p>
        </w:tc>
      </w:tr>
    </w:tbl>
    <w:p w:rsidR="003213D4" w:rsidRDefault="003213D4"/>
    <w:p w:rsidR="003213D4" w:rsidRDefault="003213D4" w:rsidP="003213D4">
      <w:pPr>
        <w:snapToGrid w:val="0"/>
        <w:spacing w:line="300" w:lineRule="auto"/>
        <w:jc w:val="left"/>
      </w:pPr>
      <w:r>
        <w:rPr>
          <w:rFonts w:hint="eastAsia"/>
        </w:rPr>
        <w:t>院（系）审核意见：</w:t>
      </w:r>
      <w:r>
        <w:rPr>
          <w:rFonts w:hint="eastAsia"/>
        </w:rPr>
        <w:t xml:space="preserve">                </w:t>
      </w:r>
      <w:r>
        <w:t xml:space="preserve">               </w:t>
      </w:r>
      <w:r>
        <w:rPr>
          <w:rFonts w:hint="eastAsia"/>
        </w:rPr>
        <w:t>学院学位委员会审批意见：</w:t>
      </w:r>
    </w:p>
    <w:p w:rsidR="003213D4" w:rsidRDefault="003213D4" w:rsidP="003213D4">
      <w:pPr>
        <w:snapToGrid w:val="0"/>
        <w:spacing w:line="300" w:lineRule="auto"/>
        <w:jc w:val="left"/>
      </w:pPr>
    </w:p>
    <w:p w:rsidR="003213D4" w:rsidRDefault="003213D4" w:rsidP="004802D3">
      <w:pPr>
        <w:snapToGrid w:val="0"/>
        <w:spacing w:line="300" w:lineRule="auto"/>
        <w:ind w:firstLineChars="200" w:firstLine="480"/>
        <w:jc w:val="left"/>
      </w:pPr>
      <w:r>
        <w:rPr>
          <w:rFonts w:hint="eastAsia"/>
        </w:rPr>
        <w:t>签字：</w:t>
      </w:r>
      <w:r>
        <w:rPr>
          <w:rFonts w:hint="eastAsia"/>
        </w:rPr>
        <w:t xml:space="preserve"> </w:t>
      </w:r>
      <w:r>
        <w:t xml:space="preserve">                                   </w:t>
      </w:r>
      <w:r w:rsidR="004802D3">
        <w:rPr>
          <w:rFonts w:hint="eastAsia"/>
        </w:rPr>
        <w:t xml:space="preserve">    </w:t>
      </w:r>
      <w:r>
        <w:rPr>
          <w:rFonts w:hint="eastAsia"/>
        </w:rPr>
        <w:t>签字：</w:t>
      </w:r>
    </w:p>
    <w:p w:rsidR="003213D4" w:rsidRDefault="003213D4" w:rsidP="004802D3">
      <w:pPr>
        <w:snapToGrid w:val="0"/>
        <w:spacing w:line="300" w:lineRule="auto"/>
        <w:ind w:firstLineChars="200" w:firstLine="480"/>
        <w:jc w:val="left"/>
      </w:pPr>
      <w:r>
        <w:rPr>
          <w:rFonts w:hint="eastAsia"/>
        </w:rPr>
        <w:t>日期：</w:t>
      </w:r>
      <w:r>
        <w:rPr>
          <w:rFonts w:hint="eastAsia"/>
        </w:rPr>
        <w:t xml:space="preserve"> </w:t>
      </w:r>
      <w:r>
        <w:t xml:space="preserve">                                       </w:t>
      </w:r>
      <w:r>
        <w:rPr>
          <w:rFonts w:hint="eastAsia"/>
        </w:rPr>
        <w:t>日期：</w:t>
      </w:r>
    </w:p>
    <w:sectPr w:rsidR="003213D4" w:rsidSect="003213D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65" w:rsidRDefault="00405B65" w:rsidP="00EB402F">
      <w:r>
        <w:separator/>
      </w:r>
    </w:p>
  </w:endnote>
  <w:endnote w:type="continuationSeparator" w:id="0">
    <w:p w:rsidR="00405B65" w:rsidRDefault="00405B65" w:rsidP="00EB4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65" w:rsidRDefault="00405B65" w:rsidP="00EB402F">
      <w:r>
        <w:separator/>
      </w:r>
    </w:p>
  </w:footnote>
  <w:footnote w:type="continuationSeparator" w:id="0">
    <w:p w:rsidR="00405B65" w:rsidRDefault="00405B65" w:rsidP="00EB4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1A6"/>
    <w:multiLevelType w:val="hybridMultilevel"/>
    <w:tmpl w:val="423A2114"/>
    <w:lvl w:ilvl="0" w:tplc="7A8CF32A">
      <w:start w:val="1"/>
      <w:numFmt w:val="bullet"/>
      <w:lvlText w:val=""/>
      <w:lvlJc w:val="left"/>
      <w:pPr>
        <w:tabs>
          <w:tab w:val="num" w:pos="1260"/>
        </w:tabs>
        <w:ind w:left="1260" w:hanging="420"/>
      </w:pPr>
      <w:rPr>
        <w:rFonts w:ascii="Wingdings" w:hAnsi="Wingdings" w:hint="default"/>
        <w:sz w:val="20"/>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nsid w:val="2758155A"/>
    <w:multiLevelType w:val="hybridMultilevel"/>
    <w:tmpl w:val="FF167822"/>
    <w:lvl w:ilvl="0" w:tplc="F2928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7E079E"/>
    <w:multiLevelType w:val="hybridMultilevel"/>
    <w:tmpl w:val="A3F8FF5C"/>
    <w:lvl w:ilvl="0" w:tplc="22F46608">
      <w:start w:val="1"/>
      <w:numFmt w:val="bullet"/>
      <w:lvlText w:val=""/>
      <w:lvlJc w:val="left"/>
      <w:pPr>
        <w:tabs>
          <w:tab w:val="num" w:pos="1260"/>
        </w:tabs>
        <w:ind w:left="1260" w:hanging="420"/>
      </w:pPr>
      <w:rPr>
        <w:rFonts w:ascii="Wingdings" w:hAnsi="Wingdings" w:hint="default"/>
        <w:sz w:val="20"/>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7AA"/>
    <w:rsid w:val="00091BCE"/>
    <w:rsid w:val="0009303C"/>
    <w:rsid w:val="000E6202"/>
    <w:rsid w:val="001826C5"/>
    <w:rsid w:val="001D7867"/>
    <w:rsid w:val="002412EF"/>
    <w:rsid w:val="00294666"/>
    <w:rsid w:val="002D029E"/>
    <w:rsid w:val="00301FB8"/>
    <w:rsid w:val="003213D4"/>
    <w:rsid w:val="003A0743"/>
    <w:rsid w:val="003E29B8"/>
    <w:rsid w:val="003F436E"/>
    <w:rsid w:val="00405B65"/>
    <w:rsid w:val="004802D3"/>
    <w:rsid w:val="004C2A03"/>
    <w:rsid w:val="0064169E"/>
    <w:rsid w:val="00646FC2"/>
    <w:rsid w:val="007421A4"/>
    <w:rsid w:val="00755516"/>
    <w:rsid w:val="007602F7"/>
    <w:rsid w:val="007749D3"/>
    <w:rsid w:val="007E3869"/>
    <w:rsid w:val="007F4CCA"/>
    <w:rsid w:val="008516D4"/>
    <w:rsid w:val="008B53B5"/>
    <w:rsid w:val="00925BC7"/>
    <w:rsid w:val="00947F34"/>
    <w:rsid w:val="009856E3"/>
    <w:rsid w:val="00A3671A"/>
    <w:rsid w:val="00A47672"/>
    <w:rsid w:val="00A81038"/>
    <w:rsid w:val="00BC3932"/>
    <w:rsid w:val="00BD573B"/>
    <w:rsid w:val="00D07B87"/>
    <w:rsid w:val="00D1354D"/>
    <w:rsid w:val="00D22877"/>
    <w:rsid w:val="00DD2FD0"/>
    <w:rsid w:val="00E247AA"/>
    <w:rsid w:val="00EB402F"/>
    <w:rsid w:val="00F75FBF"/>
    <w:rsid w:val="00F826B0"/>
    <w:rsid w:val="00F85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AA"/>
    <w:pPr>
      <w:widowControl w:val="0"/>
      <w:jc w:val="both"/>
    </w:pPr>
    <w:rPr>
      <w:rFonts w:ascii="Calibri" w:eastAsia="宋体" w:hAnsi="Calibri" w:cs="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402F"/>
    <w:rPr>
      <w:rFonts w:ascii="Calibri" w:eastAsia="宋体" w:hAnsi="Calibri" w:cs="黑体"/>
      <w:sz w:val="18"/>
      <w:szCs w:val="18"/>
    </w:rPr>
  </w:style>
  <w:style w:type="paragraph" w:styleId="a4">
    <w:name w:val="footer"/>
    <w:basedOn w:val="a"/>
    <w:link w:val="Char0"/>
    <w:uiPriority w:val="99"/>
    <w:semiHidden/>
    <w:unhideWhenUsed/>
    <w:rsid w:val="00EB40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402F"/>
    <w:rPr>
      <w:rFonts w:ascii="Calibri" w:eastAsia="宋体" w:hAnsi="Calibri" w:cs="黑体"/>
      <w:sz w:val="18"/>
      <w:szCs w:val="18"/>
    </w:rPr>
  </w:style>
  <w:style w:type="paragraph" w:styleId="2">
    <w:name w:val="Body Text Indent 2"/>
    <w:basedOn w:val="a"/>
    <w:link w:val="2Char"/>
    <w:semiHidden/>
    <w:rsid w:val="003213D4"/>
    <w:pPr>
      <w:ind w:firstLineChars="200" w:firstLine="420"/>
    </w:pPr>
    <w:rPr>
      <w:rFonts w:ascii="Times New Roman" w:hAnsi="Times New Roman" w:cs="Times New Roman"/>
      <w:sz w:val="21"/>
      <w:szCs w:val="24"/>
    </w:rPr>
  </w:style>
  <w:style w:type="character" w:customStyle="1" w:styleId="2Char">
    <w:name w:val="正文文本缩进 2 Char"/>
    <w:basedOn w:val="a0"/>
    <w:link w:val="2"/>
    <w:semiHidden/>
    <w:rsid w:val="003213D4"/>
    <w:rPr>
      <w:rFonts w:ascii="Times New Roman" w:eastAsia="宋体" w:hAnsi="Times New Roman" w:cs="Times New Roman"/>
      <w:szCs w:val="24"/>
    </w:rPr>
  </w:style>
  <w:style w:type="paragraph" w:styleId="a5">
    <w:name w:val="Body Text Indent"/>
    <w:basedOn w:val="a"/>
    <w:link w:val="Char1"/>
    <w:semiHidden/>
    <w:rsid w:val="009856E3"/>
    <w:pPr>
      <w:widowControl/>
      <w:spacing w:before="100" w:beforeAutospacing="1" w:after="100" w:afterAutospacing="1"/>
      <w:jc w:val="left"/>
    </w:pPr>
    <w:rPr>
      <w:rFonts w:ascii="宋体" w:hAnsi="宋体" w:cs="Times New Roman"/>
      <w:color w:val="000000"/>
      <w:kern w:val="0"/>
      <w:szCs w:val="24"/>
    </w:rPr>
  </w:style>
  <w:style w:type="character" w:customStyle="1" w:styleId="Char1">
    <w:name w:val="正文文本缩进 Char"/>
    <w:basedOn w:val="a0"/>
    <w:link w:val="a5"/>
    <w:semiHidden/>
    <w:rsid w:val="009856E3"/>
    <w:rPr>
      <w:rFonts w:ascii="宋体" w:eastAsia="宋体" w:hAnsi="宋体" w:cs="Times New Roman"/>
      <w:color w:val="000000"/>
      <w:kern w:val="0"/>
      <w:sz w:val="24"/>
      <w:szCs w:val="24"/>
    </w:rPr>
  </w:style>
  <w:style w:type="paragraph" w:styleId="a6">
    <w:name w:val="List Paragraph"/>
    <w:basedOn w:val="a"/>
    <w:uiPriority w:val="34"/>
    <w:qFormat/>
    <w:rsid w:val="001826C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yangjun</dc:creator>
  <cp:lastModifiedBy>jchke</cp:lastModifiedBy>
  <cp:revision>8</cp:revision>
  <dcterms:created xsi:type="dcterms:W3CDTF">2018-06-21T01:39:00Z</dcterms:created>
  <dcterms:modified xsi:type="dcterms:W3CDTF">2018-07-08T14:20:00Z</dcterms:modified>
</cp:coreProperties>
</file>